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166BAB" w:rsidTr="008D2FEC">
        <w:trPr>
          <w:trHeight w:hRule="exact" w:val="3598"/>
        </w:trPr>
        <w:tc>
          <w:tcPr>
            <w:tcW w:w="9513" w:type="dxa"/>
            <w:shd w:val="clear" w:color="auto" w:fill="auto"/>
            <w:vAlign w:val="center"/>
          </w:tcPr>
          <w:p w:rsidR="008D2FEC" w:rsidRPr="00E80B29" w:rsidRDefault="003F4337" w:rsidP="007475B8">
            <w:pPr>
              <w:pStyle w:val="RepTitle"/>
              <w:rPr>
                <w:b/>
                <w:bCs/>
                <w:lang w:eastAsia="de-DE"/>
              </w:rPr>
            </w:pPr>
            <w:r>
              <w:rPr>
                <w:b/>
                <w:bCs/>
                <w:lang w:eastAsia="de-DE"/>
              </w:rPr>
              <w:t>FINAL</w:t>
            </w:r>
            <w:r w:rsidR="008D2FEC" w:rsidRPr="00E80B29">
              <w:rPr>
                <w:b/>
                <w:bCs/>
                <w:lang w:eastAsia="de-DE"/>
              </w:rPr>
              <w:t xml:space="preserve"> REGISTRATION REPORT</w:t>
            </w:r>
          </w:p>
          <w:p w:rsidR="00F52E35" w:rsidRPr="00E80B29" w:rsidRDefault="00F52E35" w:rsidP="00043E31">
            <w:pPr>
              <w:pStyle w:val="RepTitleBold"/>
              <w:rPr>
                <w:bCs/>
                <w:sz w:val="56"/>
                <w:szCs w:val="56"/>
                <w:lang w:eastAsia="de-DE"/>
              </w:rPr>
            </w:pPr>
            <w:r w:rsidRPr="00E80B29">
              <w:rPr>
                <w:bCs/>
                <w:lang w:eastAsia="de-DE"/>
              </w:rPr>
              <w:t>Part B</w:t>
            </w:r>
          </w:p>
          <w:p w:rsidR="00D728CA" w:rsidRPr="00E80B29" w:rsidRDefault="00D728CA" w:rsidP="00D728CA">
            <w:pPr>
              <w:pStyle w:val="RepTitleBold"/>
              <w:rPr>
                <w:bCs/>
                <w:lang w:eastAsia="de-DE"/>
              </w:rPr>
            </w:pPr>
            <w:r w:rsidRPr="00E80B29">
              <w:rPr>
                <w:bCs/>
                <w:lang w:eastAsia="de-DE"/>
              </w:rPr>
              <w:t>Section 10</w:t>
            </w:r>
          </w:p>
          <w:p w:rsidR="00400A06" w:rsidRPr="00E80B29" w:rsidRDefault="00D728CA" w:rsidP="00D728CA">
            <w:pPr>
              <w:pStyle w:val="RepTitleBold"/>
              <w:rPr>
                <w:bCs/>
                <w:lang w:eastAsia="de-DE"/>
              </w:rPr>
            </w:pPr>
            <w:r w:rsidRPr="00E80B29">
              <w:rPr>
                <w:bCs/>
                <w:lang w:eastAsia="de-DE"/>
              </w:rPr>
              <w:t xml:space="preserve">Assessment of the relevance of metabolites in </w:t>
            </w:r>
            <w:r w:rsidRPr="00E80B29">
              <w:rPr>
                <w:bCs/>
                <w:lang w:eastAsia="de-DE"/>
              </w:rPr>
              <w:br/>
              <w:t>groundwater</w:t>
            </w:r>
          </w:p>
          <w:p w:rsidR="008D2FEC" w:rsidRPr="00E80B29" w:rsidRDefault="00D728CA" w:rsidP="007475B8">
            <w:pPr>
              <w:pStyle w:val="RepSubtitle"/>
              <w:rPr>
                <w:b/>
                <w:lang w:eastAsia="de-DE"/>
              </w:rPr>
            </w:pPr>
            <w:r w:rsidRPr="00E80B29">
              <w:rPr>
                <w:b/>
                <w:lang w:eastAsia="de-DE"/>
              </w:rPr>
              <w:t>Detailed summary of the risk assessment</w:t>
            </w:r>
          </w:p>
        </w:tc>
      </w:tr>
      <w:tr w:rsidR="008D2FEC" w:rsidRPr="00166BAB" w:rsidTr="008D2FEC">
        <w:trPr>
          <w:trHeight w:hRule="exact" w:val="3765"/>
        </w:trPr>
        <w:tc>
          <w:tcPr>
            <w:tcW w:w="9513" w:type="dxa"/>
            <w:shd w:val="clear" w:color="auto" w:fill="auto"/>
            <w:vAlign w:val="center"/>
          </w:tcPr>
          <w:p w:rsidR="008418B9" w:rsidRPr="00E80B29" w:rsidRDefault="008418B9" w:rsidP="008418B9">
            <w:pPr>
              <w:pStyle w:val="RepTitle"/>
              <w:rPr>
                <w:b/>
                <w:bCs/>
                <w:lang w:eastAsia="de-DE"/>
              </w:rPr>
            </w:pPr>
            <w:r w:rsidRPr="00E80B29">
              <w:rPr>
                <w:b/>
                <w:bCs/>
                <w:lang w:eastAsia="de-DE"/>
              </w:rPr>
              <w:t xml:space="preserve">Product code: </w:t>
            </w:r>
            <w:r w:rsidR="0017673B" w:rsidRPr="00E80B29">
              <w:rPr>
                <w:b/>
                <w:bCs/>
                <w:lang w:eastAsia="de-DE"/>
              </w:rPr>
              <w:t>054-01-05</w:t>
            </w:r>
          </w:p>
          <w:p w:rsidR="008418B9" w:rsidRPr="00E80B29" w:rsidRDefault="008418B9" w:rsidP="008418B9">
            <w:pPr>
              <w:pStyle w:val="RepTitle"/>
              <w:rPr>
                <w:b/>
                <w:bCs/>
                <w:lang w:eastAsia="de-DE"/>
              </w:rPr>
            </w:pPr>
            <w:r w:rsidRPr="00E80B29">
              <w:rPr>
                <w:b/>
                <w:bCs/>
                <w:lang w:eastAsia="de-DE"/>
              </w:rPr>
              <w:t xml:space="preserve">Product name(s): </w:t>
            </w:r>
            <w:r w:rsidR="0017673B" w:rsidRPr="00E80B29">
              <w:rPr>
                <w:b/>
                <w:bCs/>
                <w:lang w:eastAsia="de-DE"/>
              </w:rPr>
              <w:t>Meso-</w:t>
            </w:r>
            <w:proofErr w:type="spellStart"/>
            <w:r w:rsidR="0017673B" w:rsidRPr="00E80B29">
              <w:rPr>
                <w:b/>
                <w:bCs/>
                <w:lang w:eastAsia="de-DE"/>
              </w:rPr>
              <w:t>Iodo</w:t>
            </w:r>
            <w:proofErr w:type="spellEnd"/>
            <w:r w:rsidR="0017673B" w:rsidRPr="00E80B29">
              <w:rPr>
                <w:b/>
                <w:bCs/>
                <w:lang w:eastAsia="de-DE"/>
              </w:rPr>
              <w:t xml:space="preserve"> OD-Life</w:t>
            </w:r>
          </w:p>
          <w:p w:rsidR="008418B9" w:rsidRPr="00E80B29" w:rsidRDefault="008418B9" w:rsidP="008418B9">
            <w:pPr>
              <w:pStyle w:val="RepSubtitle"/>
              <w:rPr>
                <w:b/>
                <w:lang w:eastAsia="de-DE"/>
              </w:rPr>
            </w:pPr>
            <w:r w:rsidRPr="00E80B29">
              <w:rPr>
                <w:b/>
                <w:lang w:eastAsia="de-DE"/>
              </w:rPr>
              <w:t xml:space="preserve">Chemical active substance(s): </w:t>
            </w:r>
          </w:p>
          <w:p w:rsidR="0017673B" w:rsidRPr="00E80B29" w:rsidRDefault="0017673B" w:rsidP="0017673B">
            <w:pPr>
              <w:pStyle w:val="RepSubtitle"/>
              <w:rPr>
                <w:b/>
                <w:lang w:eastAsia="de-DE"/>
              </w:rPr>
            </w:pPr>
            <w:r w:rsidRPr="00E80B29">
              <w:rPr>
                <w:b/>
                <w:lang w:eastAsia="de-DE"/>
              </w:rPr>
              <w:t>Mesosulfuron-methyl, 10 g/L</w:t>
            </w:r>
          </w:p>
          <w:p w:rsidR="008D2FEC" w:rsidRPr="00E80B29" w:rsidRDefault="0017673B" w:rsidP="0017673B">
            <w:pPr>
              <w:pStyle w:val="RepSubtitle"/>
              <w:rPr>
                <w:b/>
                <w:lang w:eastAsia="de-DE"/>
              </w:rPr>
            </w:pPr>
            <w:r w:rsidRPr="00E80B29">
              <w:rPr>
                <w:b/>
                <w:lang w:eastAsia="de-DE"/>
              </w:rPr>
              <w:t>Iodosulfuron-methyl-sodium, 2 g/L</w:t>
            </w:r>
          </w:p>
        </w:tc>
      </w:tr>
      <w:tr w:rsidR="008D2FEC" w:rsidRPr="00166BAB" w:rsidTr="008D2FEC">
        <w:trPr>
          <w:trHeight w:hRule="exact" w:val="2268"/>
        </w:trPr>
        <w:tc>
          <w:tcPr>
            <w:tcW w:w="9513" w:type="dxa"/>
            <w:shd w:val="clear" w:color="auto" w:fill="auto"/>
            <w:vAlign w:val="center"/>
          </w:tcPr>
          <w:p w:rsidR="0017673B" w:rsidRPr="00E80B29" w:rsidRDefault="0017673B" w:rsidP="0017673B">
            <w:pPr>
              <w:pStyle w:val="RepTitle"/>
              <w:rPr>
                <w:b/>
                <w:bCs/>
                <w:lang w:eastAsia="de-DE"/>
              </w:rPr>
            </w:pPr>
            <w:r w:rsidRPr="00E80B29">
              <w:rPr>
                <w:b/>
                <w:bCs/>
                <w:lang w:eastAsia="de-DE"/>
              </w:rPr>
              <w:t>Central Zone</w:t>
            </w:r>
          </w:p>
          <w:p w:rsidR="0017673B" w:rsidRPr="00E80B29" w:rsidRDefault="0017673B" w:rsidP="0017673B">
            <w:pPr>
              <w:pStyle w:val="RepTitle"/>
              <w:rPr>
                <w:b/>
                <w:bCs/>
                <w:lang w:eastAsia="de-DE"/>
              </w:rPr>
            </w:pPr>
            <w:r w:rsidRPr="00E80B29">
              <w:rPr>
                <w:b/>
                <w:bCs/>
                <w:lang w:eastAsia="de-DE"/>
              </w:rPr>
              <w:t>Zonal Rapporteur Member State: Poland</w:t>
            </w:r>
          </w:p>
          <w:p w:rsidR="008D2FEC" w:rsidRPr="00E80B29" w:rsidRDefault="0017673B" w:rsidP="0017673B">
            <w:pPr>
              <w:pStyle w:val="RepTitle"/>
              <w:rPr>
                <w:b/>
                <w:bCs/>
                <w:lang w:eastAsia="de-DE"/>
              </w:rPr>
            </w:pPr>
            <w:r w:rsidRPr="00E80B29">
              <w:rPr>
                <w:b/>
                <w:bCs/>
                <w:lang w:eastAsia="de-DE"/>
              </w:rPr>
              <w:t>Concerned Member State: Germany</w:t>
            </w:r>
          </w:p>
        </w:tc>
      </w:tr>
      <w:tr w:rsidR="008D2FEC" w:rsidRPr="00166BAB" w:rsidTr="008D2FEC">
        <w:trPr>
          <w:trHeight w:hRule="exact" w:val="2268"/>
        </w:trPr>
        <w:tc>
          <w:tcPr>
            <w:tcW w:w="9513" w:type="dxa"/>
            <w:shd w:val="clear" w:color="auto" w:fill="auto"/>
            <w:vAlign w:val="center"/>
          </w:tcPr>
          <w:p w:rsidR="0017673B" w:rsidRPr="00E80B29" w:rsidRDefault="0017673B" w:rsidP="0017673B">
            <w:pPr>
              <w:pStyle w:val="RepTitle"/>
              <w:rPr>
                <w:b/>
                <w:bCs/>
                <w:lang w:eastAsia="de-DE"/>
              </w:rPr>
            </w:pPr>
            <w:r w:rsidRPr="00E80B29">
              <w:rPr>
                <w:b/>
                <w:bCs/>
                <w:lang w:eastAsia="de-DE"/>
              </w:rPr>
              <w:t>CORE ASSESSMENT</w:t>
            </w:r>
          </w:p>
          <w:p w:rsidR="008D2FEC" w:rsidRPr="00E80B29" w:rsidRDefault="0017673B" w:rsidP="0017673B">
            <w:pPr>
              <w:pStyle w:val="RepTitle"/>
              <w:rPr>
                <w:b/>
                <w:bCs/>
                <w:lang w:eastAsia="de-DE"/>
              </w:rPr>
            </w:pPr>
            <w:r w:rsidRPr="00E80B29">
              <w:rPr>
                <w:b/>
                <w:bCs/>
                <w:lang w:eastAsia="de-DE"/>
              </w:rPr>
              <w:t>(Authorisation)</w:t>
            </w:r>
          </w:p>
        </w:tc>
      </w:tr>
      <w:tr w:rsidR="008D2FEC" w:rsidRPr="00166BAB" w:rsidTr="002442E5">
        <w:trPr>
          <w:trHeight w:hRule="exact" w:val="2102"/>
        </w:trPr>
        <w:tc>
          <w:tcPr>
            <w:tcW w:w="9513" w:type="dxa"/>
            <w:shd w:val="clear" w:color="auto" w:fill="auto"/>
            <w:vAlign w:val="center"/>
          </w:tcPr>
          <w:p w:rsidR="008D2FEC" w:rsidRPr="00E80B29" w:rsidRDefault="008D2FEC" w:rsidP="002442E5">
            <w:pPr>
              <w:pStyle w:val="RepTitle"/>
              <w:rPr>
                <w:b/>
                <w:bCs/>
                <w:lang w:eastAsia="de-DE"/>
              </w:rPr>
            </w:pPr>
            <w:r w:rsidRPr="00E80B29">
              <w:rPr>
                <w:b/>
                <w:bCs/>
                <w:lang w:eastAsia="de-DE"/>
              </w:rPr>
              <w:t xml:space="preserve">Applicant: </w:t>
            </w:r>
            <w:r w:rsidR="0017673B" w:rsidRPr="00E80B29">
              <w:rPr>
                <w:b/>
                <w:bCs/>
                <w:lang w:eastAsia="de-DE"/>
              </w:rPr>
              <w:t>Life Scientific Ltd.</w:t>
            </w:r>
          </w:p>
          <w:p w:rsidR="008D2FEC" w:rsidRPr="00E80B29" w:rsidRDefault="008D2FEC" w:rsidP="002442E5">
            <w:pPr>
              <w:pStyle w:val="RepTitle"/>
              <w:rPr>
                <w:b/>
                <w:bCs/>
                <w:lang w:eastAsia="de-DE"/>
              </w:rPr>
            </w:pPr>
            <w:r w:rsidRPr="00E80B29">
              <w:rPr>
                <w:b/>
                <w:bCs/>
                <w:lang w:eastAsia="de-DE"/>
              </w:rPr>
              <w:t xml:space="preserve">Submission date: </w:t>
            </w:r>
            <w:r w:rsidR="0017673B" w:rsidRPr="00E80B29">
              <w:rPr>
                <w:b/>
                <w:bCs/>
                <w:lang w:eastAsia="de-DE"/>
              </w:rPr>
              <w:t>Q1 2023</w:t>
            </w:r>
            <w:r w:rsidR="00A36582">
              <w:rPr>
                <w:b/>
                <w:bCs/>
                <w:lang w:eastAsia="de-DE"/>
              </w:rPr>
              <w:t xml:space="preserve">, </w:t>
            </w:r>
            <w:r w:rsidR="00A36582" w:rsidRPr="00A36582">
              <w:rPr>
                <w:b/>
                <w:bCs/>
                <w:highlight w:val="cyan"/>
                <w:lang w:eastAsia="de-DE"/>
              </w:rPr>
              <w:t>October 2024</w:t>
            </w:r>
          </w:p>
          <w:p w:rsidR="008D2FEC" w:rsidRPr="00E80B29" w:rsidRDefault="003674BF" w:rsidP="002A71D6">
            <w:pPr>
              <w:pStyle w:val="RepTitle"/>
              <w:rPr>
                <w:b/>
                <w:bCs/>
                <w:lang w:eastAsia="de-DE"/>
              </w:rPr>
            </w:pPr>
            <w:r w:rsidRPr="00E80B29">
              <w:rPr>
                <w:b/>
                <w:bCs/>
                <w:lang w:eastAsia="de-DE"/>
              </w:rPr>
              <w:t xml:space="preserve">MS </w:t>
            </w:r>
            <w:r w:rsidR="008D2FEC" w:rsidRPr="00E80B29">
              <w:rPr>
                <w:b/>
                <w:bCs/>
                <w:lang w:eastAsia="de-DE"/>
              </w:rPr>
              <w:t xml:space="preserve">Finalisation date: </w:t>
            </w:r>
            <w:r w:rsidR="002A71D6" w:rsidRPr="003F4337">
              <w:rPr>
                <w:b/>
                <w:bCs/>
                <w:lang w:eastAsia="de-DE"/>
              </w:rPr>
              <w:t>July 2023</w:t>
            </w:r>
            <w:r w:rsidR="003F4337">
              <w:rPr>
                <w:b/>
                <w:bCs/>
                <w:lang w:eastAsia="de-DE"/>
              </w:rPr>
              <w:t>; April 2024</w:t>
            </w:r>
            <w:r w:rsidR="00000679">
              <w:rPr>
                <w:b/>
                <w:bCs/>
                <w:lang w:eastAsia="de-DE"/>
              </w:rPr>
              <w:t xml:space="preserve">, </w:t>
            </w:r>
            <w:r w:rsidR="00000679" w:rsidRPr="00000679">
              <w:rPr>
                <w:b/>
                <w:bCs/>
                <w:highlight w:val="lightGray"/>
                <w:lang w:eastAsia="de-DE"/>
              </w:rPr>
              <w:t>October 2024</w:t>
            </w:r>
          </w:p>
        </w:tc>
      </w:tr>
    </w:tbl>
    <w:p w:rsidR="002442E5" w:rsidRPr="00166BAB" w:rsidRDefault="002442E5" w:rsidP="002442E5">
      <w:pPr>
        <w:pStyle w:val="RepTitle"/>
        <w:sectPr w:rsidR="002442E5" w:rsidRPr="00166BAB" w:rsidSect="00166BAB">
          <w:headerReference w:type="default" r:id="rId7"/>
          <w:footerReference w:type="even" r:id="rId8"/>
          <w:pgSz w:w="11906" w:h="16838" w:code="9"/>
          <w:pgMar w:top="1417" w:right="1134" w:bottom="1134" w:left="1417" w:header="709" w:footer="142" w:gutter="0"/>
          <w:pgNumType w:chapSep="period"/>
          <w:cols w:space="708"/>
          <w:titlePg/>
          <w:docGrid w:linePitch="360"/>
        </w:sectPr>
      </w:pPr>
    </w:p>
    <w:p w:rsidR="00E83884" w:rsidRPr="00166BAB" w:rsidRDefault="008D2FEC" w:rsidP="002442E5">
      <w:pPr>
        <w:pStyle w:val="RepTitle"/>
      </w:pPr>
      <w:r w:rsidRPr="00166BAB">
        <w:lastRenderedPageBreak/>
        <w:t>V</w:t>
      </w:r>
      <w:r w:rsidR="00E83884" w:rsidRPr="00166BAB">
        <w:t xml:space="preserve">ersion </w:t>
      </w:r>
      <w:r w:rsidR="006701D3" w:rsidRPr="00166BAB">
        <w:t>h</w:t>
      </w:r>
      <w:r w:rsidR="00E83884" w:rsidRPr="00166BAB">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166BAB" w:rsidTr="00043E31">
        <w:tc>
          <w:tcPr>
            <w:tcW w:w="796" w:type="pct"/>
            <w:shd w:val="clear" w:color="auto" w:fill="auto"/>
          </w:tcPr>
          <w:p w:rsidR="00E83884" w:rsidRPr="00166BAB" w:rsidRDefault="00E83884" w:rsidP="003E44CC">
            <w:pPr>
              <w:pStyle w:val="RepTableHeader"/>
              <w:jc w:val="center"/>
              <w:rPr>
                <w:lang w:val="en-GB"/>
              </w:rPr>
            </w:pPr>
            <w:r w:rsidRPr="00166BAB">
              <w:rPr>
                <w:lang w:val="en-GB"/>
              </w:rPr>
              <w:t>When</w:t>
            </w:r>
          </w:p>
        </w:tc>
        <w:tc>
          <w:tcPr>
            <w:tcW w:w="4204" w:type="pct"/>
            <w:shd w:val="clear" w:color="auto" w:fill="auto"/>
          </w:tcPr>
          <w:p w:rsidR="00E83884" w:rsidRPr="00166BAB" w:rsidRDefault="00E83884" w:rsidP="003E44CC">
            <w:pPr>
              <w:pStyle w:val="RepTableHeader"/>
              <w:jc w:val="center"/>
              <w:rPr>
                <w:lang w:val="en-GB"/>
              </w:rPr>
            </w:pPr>
            <w:r w:rsidRPr="00166BAB">
              <w:rPr>
                <w:lang w:val="en-GB"/>
              </w:rPr>
              <w:t>What</w:t>
            </w:r>
          </w:p>
        </w:tc>
      </w:tr>
      <w:tr w:rsidR="00E83884" w:rsidRPr="00166BAB" w:rsidTr="00043E31">
        <w:tc>
          <w:tcPr>
            <w:tcW w:w="796" w:type="pct"/>
            <w:shd w:val="clear" w:color="auto" w:fill="auto"/>
          </w:tcPr>
          <w:p w:rsidR="00E83884" w:rsidRPr="002A71D6" w:rsidRDefault="002A71D6" w:rsidP="002442E5">
            <w:pPr>
              <w:pStyle w:val="RepTable"/>
              <w:rPr>
                <w:noProof w:val="0"/>
                <w:highlight w:val="yellow"/>
                <w:lang w:eastAsia="de-DE"/>
              </w:rPr>
            </w:pPr>
            <w:r w:rsidRPr="002A71D6">
              <w:rPr>
                <w:noProof w:val="0"/>
                <w:highlight w:val="yellow"/>
                <w:lang w:eastAsia="de-DE"/>
              </w:rPr>
              <w:t>July 2023</w:t>
            </w:r>
          </w:p>
        </w:tc>
        <w:tc>
          <w:tcPr>
            <w:tcW w:w="4204" w:type="pct"/>
            <w:shd w:val="clear" w:color="auto" w:fill="auto"/>
          </w:tcPr>
          <w:p w:rsidR="00E83884" w:rsidRPr="002A71D6" w:rsidRDefault="002A71D6" w:rsidP="002442E5">
            <w:pPr>
              <w:pStyle w:val="RepTable"/>
              <w:rPr>
                <w:noProof w:val="0"/>
                <w:highlight w:val="yellow"/>
                <w:lang w:eastAsia="de-DE"/>
              </w:rPr>
            </w:pPr>
            <w:r w:rsidRPr="002A71D6">
              <w:rPr>
                <w:noProof w:val="0"/>
                <w:highlight w:val="yellow"/>
                <w:lang w:eastAsia="de-DE"/>
              </w:rPr>
              <w:t>Assessment by expert</w:t>
            </w:r>
          </w:p>
        </w:tc>
      </w:tr>
      <w:tr w:rsidR="00E83884" w:rsidRPr="00166BAB" w:rsidTr="00043E31">
        <w:tc>
          <w:tcPr>
            <w:tcW w:w="796" w:type="pct"/>
            <w:shd w:val="clear" w:color="auto" w:fill="auto"/>
          </w:tcPr>
          <w:p w:rsidR="00E83884" w:rsidRPr="00166BAB" w:rsidRDefault="003F4337" w:rsidP="002442E5">
            <w:pPr>
              <w:pStyle w:val="RepTable"/>
              <w:rPr>
                <w:noProof w:val="0"/>
                <w:lang w:eastAsia="de-DE"/>
              </w:rPr>
            </w:pPr>
            <w:r>
              <w:rPr>
                <w:noProof w:val="0"/>
                <w:lang w:eastAsia="de-DE"/>
              </w:rPr>
              <w:t>April 2024</w:t>
            </w:r>
          </w:p>
        </w:tc>
        <w:tc>
          <w:tcPr>
            <w:tcW w:w="4204" w:type="pct"/>
            <w:shd w:val="clear" w:color="auto" w:fill="auto"/>
          </w:tcPr>
          <w:p w:rsidR="00E83884" w:rsidRPr="00166BAB" w:rsidRDefault="003F4337" w:rsidP="002442E5">
            <w:pPr>
              <w:pStyle w:val="RepTable"/>
              <w:rPr>
                <w:noProof w:val="0"/>
                <w:lang w:eastAsia="de-DE"/>
              </w:rPr>
            </w:pPr>
            <w:r>
              <w:t>The Final Registration Report</w:t>
            </w:r>
          </w:p>
        </w:tc>
      </w:tr>
      <w:tr w:rsidR="00E83884" w:rsidRPr="00166BAB" w:rsidTr="00043E31">
        <w:tc>
          <w:tcPr>
            <w:tcW w:w="796" w:type="pct"/>
            <w:shd w:val="clear" w:color="auto" w:fill="auto"/>
          </w:tcPr>
          <w:p w:rsidR="00E83884" w:rsidRPr="00857370" w:rsidRDefault="00857370" w:rsidP="002442E5">
            <w:pPr>
              <w:pStyle w:val="RepTable"/>
              <w:rPr>
                <w:noProof w:val="0"/>
                <w:highlight w:val="cyan"/>
                <w:lang w:eastAsia="de-DE"/>
              </w:rPr>
            </w:pPr>
            <w:r w:rsidRPr="00857370">
              <w:rPr>
                <w:noProof w:val="0"/>
                <w:highlight w:val="cyan"/>
                <w:lang w:eastAsia="de-DE"/>
              </w:rPr>
              <w:t>October 2024</w:t>
            </w:r>
          </w:p>
        </w:tc>
        <w:tc>
          <w:tcPr>
            <w:tcW w:w="4204" w:type="pct"/>
            <w:shd w:val="clear" w:color="auto" w:fill="auto"/>
          </w:tcPr>
          <w:p w:rsidR="00E83884" w:rsidRPr="00857370" w:rsidRDefault="00857370" w:rsidP="002442E5">
            <w:pPr>
              <w:pStyle w:val="RepTable"/>
              <w:rPr>
                <w:noProof w:val="0"/>
                <w:highlight w:val="cyan"/>
                <w:lang w:eastAsia="de-DE"/>
              </w:rPr>
            </w:pPr>
            <w:proofErr w:type="spellStart"/>
            <w:r w:rsidRPr="00857370">
              <w:rPr>
                <w:noProof w:val="0"/>
                <w:highlight w:val="cyan"/>
                <w:lang w:eastAsia="de-DE"/>
              </w:rPr>
              <w:t>fRR</w:t>
            </w:r>
            <w:proofErr w:type="spellEnd"/>
            <w:r w:rsidRPr="00857370">
              <w:rPr>
                <w:noProof w:val="0"/>
                <w:highlight w:val="cyan"/>
                <w:lang w:eastAsia="de-DE"/>
              </w:rPr>
              <w:t xml:space="preserve"> completion on Ministry request</w:t>
            </w:r>
          </w:p>
        </w:tc>
      </w:tr>
      <w:tr w:rsidR="00E83884" w:rsidRPr="00166BAB" w:rsidTr="00043E31">
        <w:tc>
          <w:tcPr>
            <w:tcW w:w="796" w:type="pct"/>
            <w:shd w:val="clear" w:color="auto" w:fill="auto"/>
          </w:tcPr>
          <w:p w:rsidR="00E83884" w:rsidRPr="00F62E46" w:rsidRDefault="00F62E46" w:rsidP="002442E5">
            <w:pPr>
              <w:pStyle w:val="RepTable"/>
              <w:rPr>
                <w:noProof w:val="0"/>
                <w:highlight w:val="lightGray"/>
                <w:lang w:eastAsia="de-DE"/>
              </w:rPr>
            </w:pPr>
            <w:r w:rsidRPr="00F62E46">
              <w:rPr>
                <w:noProof w:val="0"/>
                <w:highlight w:val="lightGray"/>
                <w:lang w:eastAsia="de-DE"/>
              </w:rPr>
              <w:t>October 2024</w:t>
            </w:r>
          </w:p>
        </w:tc>
        <w:tc>
          <w:tcPr>
            <w:tcW w:w="4204" w:type="pct"/>
            <w:shd w:val="clear" w:color="auto" w:fill="auto"/>
          </w:tcPr>
          <w:p w:rsidR="00E83884" w:rsidRPr="00166BAB" w:rsidRDefault="00F62E46" w:rsidP="002442E5">
            <w:pPr>
              <w:pStyle w:val="RepTable"/>
              <w:rPr>
                <w:noProof w:val="0"/>
                <w:lang w:eastAsia="de-DE"/>
              </w:rPr>
            </w:pPr>
            <w:r w:rsidRPr="00F62E46">
              <w:rPr>
                <w:noProof w:val="0"/>
                <w:highlight w:val="lightGray"/>
                <w:lang w:eastAsia="de-DE"/>
              </w:rPr>
              <w:t>Assessment by expert</w:t>
            </w:r>
          </w:p>
        </w:tc>
      </w:tr>
    </w:tbl>
    <w:p w:rsidR="00E83884" w:rsidRPr="00166BAB" w:rsidRDefault="00E83884" w:rsidP="002442E5">
      <w:pPr>
        <w:pStyle w:val="RepStandard"/>
      </w:pPr>
    </w:p>
    <w:p w:rsidR="003F4337" w:rsidRDefault="003F4337" w:rsidP="002442E5">
      <w:pPr>
        <w:pStyle w:val="RepSubtitle"/>
        <w:rPr>
          <w:sz w:val="24"/>
        </w:rPr>
      </w:pPr>
    </w:p>
    <w:p w:rsidR="002442E5" w:rsidRPr="003F4337" w:rsidRDefault="00DD76C4" w:rsidP="002442E5">
      <w:pPr>
        <w:pStyle w:val="RepSubtitle"/>
        <w:rPr>
          <w:sz w:val="24"/>
        </w:rPr>
      </w:pPr>
      <w:r w:rsidRPr="003F4337">
        <w:rPr>
          <w:sz w:val="24"/>
        </w:rPr>
        <w:t>Harmonised classification according to Regulation (EC) No 1272/2008  and its Adaptations to Technical Process [Table 3.1 of Annex VI of Regulation (EC) No1272/2008 as amended</w:t>
      </w:r>
    </w:p>
    <w:p w:rsidR="007000DA" w:rsidRPr="00857370" w:rsidRDefault="00DD76C4" w:rsidP="00857370">
      <w:pPr>
        <w:pStyle w:val="RepSubtitle"/>
        <w:rPr>
          <w:sz w:val="24"/>
        </w:rPr>
        <w:sectPr w:rsidR="007000DA" w:rsidRPr="00857370" w:rsidSect="00166BAB">
          <w:pgSz w:w="11906" w:h="16838" w:code="9"/>
          <w:pgMar w:top="1417" w:right="1134" w:bottom="1134" w:left="1417" w:header="709" w:footer="142" w:gutter="0"/>
          <w:pgNumType w:chapSep="period"/>
          <w:cols w:space="708"/>
          <w:docGrid w:linePitch="360"/>
        </w:sectPr>
      </w:pPr>
      <w:r w:rsidRPr="003F4337">
        <w:rPr>
          <w:sz w:val="24"/>
        </w:rPr>
        <w:t xml:space="preserve">No classification for toxicology in current harmonised </w:t>
      </w:r>
    </w:p>
    <w:p w:rsidR="00857370" w:rsidRDefault="00857370" w:rsidP="00857370">
      <w:pPr>
        <w:pStyle w:val="RepSubtitle"/>
      </w:pPr>
      <w:r>
        <w:lastRenderedPageBreak/>
        <w:t>Table of Contents</w:t>
      </w:r>
    </w:p>
    <w:p w:rsidR="00857370" w:rsidRDefault="00857370" w:rsidP="00857370">
      <w:pPr>
        <w:pStyle w:val="Spistreci1"/>
        <w:rPr>
          <w:rFonts w:ascii="Calibri" w:hAnsi="Calibri"/>
          <w:b w:val="0"/>
          <w:kern w:val="2"/>
          <w:sz w:val="22"/>
          <w:szCs w:val="22"/>
          <w:lang w:val="en-IE" w:eastAsia="en-IE"/>
        </w:rPr>
      </w:pPr>
      <w:r>
        <w:rPr>
          <w:lang w:val="en-GB"/>
        </w:rPr>
        <w:fldChar w:fldCharType="begin"/>
      </w:r>
      <w:r>
        <w:rPr>
          <w:lang w:val="en-GB"/>
        </w:rPr>
        <w:instrText xml:space="preserve"> TOC \o "1-4" \h \z \t "Rep Appendix 3;3" </w:instrText>
      </w:r>
      <w:r>
        <w:rPr>
          <w:lang w:val="en-GB"/>
        </w:rPr>
        <w:fldChar w:fldCharType="separate"/>
      </w:r>
      <w:hyperlink r:id="rId9" w:anchor="_Toc150777366" w:history="1">
        <w:r>
          <w:rPr>
            <w:rStyle w:val="Hipercze"/>
          </w:rPr>
          <w:t>10</w:t>
        </w:r>
        <w:r>
          <w:rPr>
            <w:rStyle w:val="Hipercze"/>
            <w:rFonts w:ascii="Calibri" w:hAnsi="Calibri"/>
            <w:b w:val="0"/>
            <w:kern w:val="2"/>
            <w:sz w:val="22"/>
            <w:szCs w:val="22"/>
            <w:lang w:val="en-IE" w:eastAsia="en-IE"/>
          </w:rPr>
          <w:tab/>
        </w:r>
        <w:r>
          <w:rPr>
            <w:rStyle w:val="Hipercze"/>
          </w:rPr>
          <w:t>Relevance of metabolites in groundwater</w:t>
        </w:r>
        <w:r>
          <w:rPr>
            <w:rStyle w:val="Hipercze"/>
            <w:webHidden/>
          </w:rPr>
          <w:tab/>
        </w:r>
        <w:r>
          <w:rPr>
            <w:rStyle w:val="Hipercze"/>
            <w:webHidden/>
          </w:rPr>
          <w:fldChar w:fldCharType="begin"/>
        </w:r>
        <w:r>
          <w:rPr>
            <w:rStyle w:val="Hipercze"/>
            <w:webHidden/>
          </w:rPr>
          <w:instrText xml:space="preserve"> PAGEREF _Toc150777366 \h </w:instrText>
        </w:r>
        <w:r>
          <w:rPr>
            <w:rStyle w:val="Hipercze"/>
            <w:webHidden/>
          </w:rPr>
        </w:r>
        <w:r>
          <w:rPr>
            <w:rStyle w:val="Hipercze"/>
            <w:webHidden/>
          </w:rPr>
          <w:fldChar w:fldCharType="separate"/>
        </w:r>
        <w:r>
          <w:rPr>
            <w:rStyle w:val="Hipercze"/>
            <w:webHidden/>
          </w:rPr>
          <w:t>4</w:t>
        </w:r>
        <w:r>
          <w:rPr>
            <w:rStyle w:val="Hipercze"/>
            <w:webHidden/>
          </w:rPr>
          <w:fldChar w:fldCharType="end"/>
        </w:r>
      </w:hyperlink>
    </w:p>
    <w:p w:rsidR="00857370" w:rsidRDefault="00857370" w:rsidP="00857370">
      <w:pPr>
        <w:pStyle w:val="Spistreci2"/>
        <w:rPr>
          <w:rFonts w:ascii="Calibri" w:hAnsi="Calibri"/>
          <w:kern w:val="2"/>
          <w:sz w:val="22"/>
          <w:lang w:val="en-IE" w:eastAsia="en-IE"/>
        </w:rPr>
      </w:pPr>
      <w:hyperlink r:id="rId10" w:anchor="_Toc150777367" w:history="1">
        <w:r>
          <w:rPr>
            <w:rStyle w:val="Hipercze"/>
          </w:rPr>
          <w:t>10.1</w:t>
        </w:r>
        <w:r>
          <w:rPr>
            <w:rStyle w:val="Hipercze"/>
            <w:rFonts w:ascii="Calibri" w:hAnsi="Calibri"/>
            <w:kern w:val="2"/>
            <w:sz w:val="22"/>
            <w:lang w:val="en-IE" w:eastAsia="en-IE"/>
          </w:rPr>
          <w:tab/>
        </w:r>
        <w:r>
          <w:rPr>
            <w:rStyle w:val="Hipercze"/>
          </w:rPr>
          <w:t>General information</w:t>
        </w:r>
        <w:r>
          <w:rPr>
            <w:rStyle w:val="Hipercze"/>
            <w:webHidden/>
          </w:rPr>
          <w:tab/>
        </w:r>
        <w:r>
          <w:rPr>
            <w:rStyle w:val="Hipercze"/>
            <w:webHidden/>
          </w:rPr>
          <w:fldChar w:fldCharType="begin"/>
        </w:r>
        <w:r>
          <w:rPr>
            <w:rStyle w:val="Hipercze"/>
            <w:webHidden/>
          </w:rPr>
          <w:instrText xml:space="preserve"> PAGEREF _Toc150777367 \h </w:instrText>
        </w:r>
        <w:r>
          <w:rPr>
            <w:rStyle w:val="Hipercze"/>
            <w:webHidden/>
          </w:rPr>
        </w:r>
        <w:r>
          <w:rPr>
            <w:rStyle w:val="Hipercze"/>
            <w:webHidden/>
          </w:rPr>
          <w:fldChar w:fldCharType="separate"/>
        </w:r>
        <w:r>
          <w:rPr>
            <w:rStyle w:val="Hipercze"/>
            <w:webHidden/>
          </w:rPr>
          <w:t>5</w:t>
        </w:r>
        <w:r>
          <w:rPr>
            <w:rStyle w:val="Hipercze"/>
            <w:webHidden/>
          </w:rPr>
          <w:fldChar w:fldCharType="end"/>
        </w:r>
      </w:hyperlink>
    </w:p>
    <w:p w:rsidR="00857370" w:rsidRDefault="00857370" w:rsidP="00857370">
      <w:pPr>
        <w:pStyle w:val="Spistreci2"/>
        <w:rPr>
          <w:rFonts w:ascii="Calibri" w:hAnsi="Calibri"/>
          <w:kern w:val="2"/>
          <w:sz w:val="22"/>
          <w:lang w:val="en-IE" w:eastAsia="en-IE"/>
        </w:rPr>
      </w:pPr>
      <w:hyperlink r:id="rId11" w:anchor="_Toc150777368" w:history="1">
        <w:r>
          <w:rPr>
            <w:rStyle w:val="Hipercze"/>
          </w:rPr>
          <w:t>10.2</w:t>
        </w:r>
        <w:r>
          <w:rPr>
            <w:rStyle w:val="Hipercze"/>
            <w:rFonts w:ascii="Calibri" w:hAnsi="Calibri"/>
            <w:kern w:val="2"/>
            <w:sz w:val="22"/>
            <w:lang w:val="en-IE" w:eastAsia="en-IE"/>
          </w:rPr>
          <w:tab/>
        </w:r>
        <w:r>
          <w:rPr>
            <w:rStyle w:val="Hipercze"/>
            <w:lang w:val="en-IE" w:eastAsia="en-IE"/>
          </w:rPr>
          <w:t>Relevance assessment of AE F160459, metabolite of mesosulfuron-methyl</w:t>
        </w:r>
        <w:r>
          <w:rPr>
            <w:rStyle w:val="Hipercze"/>
            <w:webHidden/>
          </w:rPr>
          <w:tab/>
        </w:r>
        <w:r>
          <w:rPr>
            <w:rStyle w:val="Hipercze"/>
            <w:webHidden/>
          </w:rPr>
          <w:fldChar w:fldCharType="begin"/>
        </w:r>
        <w:r>
          <w:rPr>
            <w:rStyle w:val="Hipercze"/>
            <w:webHidden/>
          </w:rPr>
          <w:instrText xml:space="preserve"> PAGEREF _Toc150777368 \h </w:instrText>
        </w:r>
        <w:r>
          <w:rPr>
            <w:rStyle w:val="Hipercze"/>
            <w:webHidden/>
          </w:rPr>
        </w:r>
        <w:r>
          <w:rPr>
            <w:rStyle w:val="Hipercze"/>
            <w:webHidden/>
          </w:rPr>
          <w:fldChar w:fldCharType="separate"/>
        </w:r>
        <w:r>
          <w:rPr>
            <w:rStyle w:val="Hipercze"/>
            <w:webHidden/>
          </w:rPr>
          <w:t>10</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12" w:anchor="_Toc150777369" w:history="1">
        <w:r>
          <w:rPr>
            <w:rStyle w:val="Hipercze"/>
          </w:rPr>
          <w:t>10.2.1</w:t>
        </w:r>
        <w:r>
          <w:rPr>
            <w:rStyle w:val="Hipercze"/>
            <w:rFonts w:ascii="Calibri" w:hAnsi="Calibri"/>
            <w:kern w:val="2"/>
            <w:sz w:val="22"/>
            <w:szCs w:val="22"/>
            <w:lang w:val="en-IE" w:eastAsia="en-IE"/>
          </w:rPr>
          <w:tab/>
        </w:r>
        <w:r>
          <w:rPr>
            <w:rStyle w:val="Hipercze"/>
          </w:rPr>
          <w:t>STEP 1: Exclusion of degradation products of no concern</w:t>
        </w:r>
        <w:r>
          <w:rPr>
            <w:rStyle w:val="Hipercze"/>
            <w:webHidden/>
          </w:rPr>
          <w:tab/>
        </w:r>
        <w:r>
          <w:rPr>
            <w:rStyle w:val="Hipercze"/>
            <w:webHidden/>
          </w:rPr>
          <w:fldChar w:fldCharType="begin"/>
        </w:r>
        <w:r>
          <w:rPr>
            <w:rStyle w:val="Hipercze"/>
            <w:webHidden/>
          </w:rPr>
          <w:instrText xml:space="preserve"> PAGEREF _Toc150777369 \h </w:instrText>
        </w:r>
        <w:r>
          <w:rPr>
            <w:rStyle w:val="Hipercze"/>
            <w:webHidden/>
          </w:rPr>
        </w:r>
        <w:r>
          <w:rPr>
            <w:rStyle w:val="Hipercze"/>
            <w:webHidden/>
          </w:rPr>
          <w:fldChar w:fldCharType="separate"/>
        </w:r>
        <w:r>
          <w:rPr>
            <w:rStyle w:val="Hipercze"/>
            <w:webHidden/>
          </w:rPr>
          <w:t>11</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13" w:anchor="_Toc150777370" w:history="1">
        <w:r>
          <w:rPr>
            <w:rStyle w:val="Hipercze"/>
          </w:rPr>
          <w:t>10.2.2</w:t>
        </w:r>
        <w:r>
          <w:rPr>
            <w:rStyle w:val="Hipercze"/>
            <w:rFonts w:ascii="Calibri" w:hAnsi="Calibri"/>
            <w:kern w:val="2"/>
            <w:sz w:val="22"/>
            <w:szCs w:val="22"/>
            <w:lang w:val="en-IE" w:eastAsia="en-IE"/>
          </w:rPr>
          <w:tab/>
        </w:r>
        <w:r>
          <w:rPr>
            <w:rStyle w:val="Hipercze"/>
          </w:rPr>
          <w:t>STEP 2: Quantification of potential groundwater contamination</w:t>
        </w:r>
        <w:r>
          <w:rPr>
            <w:rStyle w:val="Hipercze"/>
            <w:webHidden/>
          </w:rPr>
          <w:tab/>
        </w:r>
        <w:r>
          <w:rPr>
            <w:rStyle w:val="Hipercze"/>
            <w:webHidden/>
          </w:rPr>
          <w:fldChar w:fldCharType="begin"/>
        </w:r>
        <w:r>
          <w:rPr>
            <w:rStyle w:val="Hipercze"/>
            <w:webHidden/>
          </w:rPr>
          <w:instrText xml:space="preserve"> PAGEREF _Toc150777370 \h </w:instrText>
        </w:r>
        <w:r>
          <w:rPr>
            <w:rStyle w:val="Hipercze"/>
            <w:webHidden/>
          </w:rPr>
        </w:r>
        <w:r>
          <w:rPr>
            <w:rStyle w:val="Hipercze"/>
            <w:webHidden/>
          </w:rPr>
          <w:fldChar w:fldCharType="separate"/>
        </w:r>
        <w:r>
          <w:rPr>
            <w:rStyle w:val="Hipercze"/>
            <w:webHidden/>
          </w:rPr>
          <w:t>11</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14" w:anchor="_Toc150777371" w:history="1">
        <w:r>
          <w:rPr>
            <w:rStyle w:val="Hipercze"/>
          </w:rPr>
          <w:t>10.2.3</w:t>
        </w:r>
        <w:r>
          <w:rPr>
            <w:rStyle w:val="Hipercze"/>
            <w:rFonts w:ascii="Calibri" w:hAnsi="Calibri"/>
            <w:kern w:val="2"/>
            <w:sz w:val="22"/>
            <w:szCs w:val="22"/>
            <w:lang w:val="en-IE" w:eastAsia="en-IE"/>
          </w:rPr>
          <w:tab/>
        </w:r>
        <w:r>
          <w:rPr>
            <w:rStyle w:val="Hipercze"/>
          </w:rPr>
          <w:t>STEP 3: Hazard assessment – identification of relevant metabolites</w:t>
        </w:r>
        <w:r>
          <w:rPr>
            <w:rStyle w:val="Hipercze"/>
            <w:webHidden/>
          </w:rPr>
          <w:tab/>
        </w:r>
        <w:r>
          <w:rPr>
            <w:rStyle w:val="Hipercze"/>
            <w:webHidden/>
          </w:rPr>
          <w:fldChar w:fldCharType="begin"/>
        </w:r>
        <w:r>
          <w:rPr>
            <w:rStyle w:val="Hipercze"/>
            <w:webHidden/>
          </w:rPr>
          <w:instrText xml:space="preserve"> PAGEREF _Toc150777371 \h </w:instrText>
        </w:r>
        <w:r>
          <w:rPr>
            <w:rStyle w:val="Hipercze"/>
            <w:webHidden/>
          </w:rPr>
        </w:r>
        <w:r>
          <w:rPr>
            <w:rStyle w:val="Hipercze"/>
            <w:webHidden/>
          </w:rPr>
          <w:fldChar w:fldCharType="separate"/>
        </w:r>
        <w:r>
          <w:rPr>
            <w:rStyle w:val="Hipercze"/>
            <w:webHidden/>
          </w:rPr>
          <w:t>11</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15" w:anchor="_Toc150777372" w:history="1">
        <w:r>
          <w:rPr>
            <w:rStyle w:val="Hipercze"/>
          </w:rPr>
          <w:t>10.2.3.1</w:t>
        </w:r>
        <w:r>
          <w:rPr>
            <w:rStyle w:val="Hipercze"/>
            <w:rFonts w:ascii="Calibri" w:hAnsi="Calibri"/>
            <w:kern w:val="2"/>
            <w:sz w:val="22"/>
            <w:szCs w:val="22"/>
            <w:lang w:val="en-IE" w:eastAsia="en-IE"/>
          </w:rPr>
          <w:tab/>
        </w:r>
        <w:r>
          <w:rPr>
            <w:rStyle w:val="Hipercze"/>
          </w:rPr>
          <w:t>STEP 3, Stage 1: screening for biological activity</w:t>
        </w:r>
        <w:r>
          <w:rPr>
            <w:rStyle w:val="Hipercze"/>
            <w:webHidden/>
          </w:rPr>
          <w:tab/>
        </w:r>
        <w:r>
          <w:rPr>
            <w:rStyle w:val="Hipercze"/>
            <w:webHidden/>
          </w:rPr>
          <w:fldChar w:fldCharType="begin"/>
        </w:r>
        <w:r>
          <w:rPr>
            <w:rStyle w:val="Hipercze"/>
            <w:webHidden/>
          </w:rPr>
          <w:instrText xml:space="preserve"> PAGEREF _Toc150777372 \h </w:instrText>
        </w:r>
        <w:r>
          <w:rPr>
            <w:rStyle w:val="Hipercze"/>
            <w:webHidden/>
          </w:rPr>
        </w:r>
        <w:r>
          <w:rPr>
            <w:rStyle w:val="Hipercze"/>
            <w:webHidden/>
          </w:rPr>
          <w:fldChar w:fldCharType="separate"/>
        </w:r>
        <w:r>
          <w:rPr>
            <w:rStyle w:val="Hipercze"/>
            <w:webHidden/>
          </w:rPr>
          <w:t>11</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16" w:anchor="_Toc150777373" w:history="1">
        <w:r>
          <w:rPr>
            <w:rStyle w:val="Hipercze"/>
          </w:rPr>
          <w:t>10.2.3.2</w:t>
        </w:r>
        <w:r>
          <w:rPr>
            <w:rStyle w:val="Hipercze"/>
            <w:rFonts w:ascii="Calibri" w:hAnsi="Calibri"/>
            <w:kern w:val="2"/>
            <w:sz w:val="22"/>
            <w:szCs w:val="22"/>
            <w:lang w:val="en-IE" w:eastAsia="en-IE"/>
          </w:rPr>
          <w:tab/>
        </w:r>
        <w:r>
          <w:rPr>
            <w:rStyle w:val="Hipercze"/>
          </w:rPr>
          <w:t>STEP 3, Stage 2: screening for genotoxicity</w:t>
        </w:r>
        <w:r>
          <w:rPr>
            <w:rStyle w:val="Hipercze"/>
            <w:webHidden/>
          </w:rPr>
          <w:tab/>
        </w:r>
        <w:r>
          <w:rPr>
            <w:rStyle w:val="Hipercze"/>
            <w:webHidden/>
          </w:rPr>
          <w:fldChar w:fldCharType="begin"/>
        </w:r>
        <w:r>
          <w:rPr>
            <w:rStyle w:val="Hipercze"/>
            <w:webHidden/>
          </w:rPr>
          <w:instrText xml:space="preserve"> PAGEREF _Toc150777373 \h </w:instrText>
        </w:r>
        <w:r>
          <w:rPr>
            <w:rStyle w:val="Hipercze"/>
            <w:webHidden/>
          </w:rPr>
        </w:r>
        <w:r>
          <w:rPr>
            <w:rStyle w:val="Hipercze"/>
            <w:webHidden/>
          </w:rPr>
          <w:fldChar w:fldCharType="separate"/>
        </w:r>
        <w:r>
          <w:rPr>
            <w:rStyle w:val="Hipercze"/>
            <w:webHidden/>
          </w:rPr>
          <w:t>11</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17" w:anchor="_Toc150777374" w:history="1">
        <w:r>
          <w:rPr>
            <w:rStyle w:val="Hipercze"/>
          </w:rPr>
          <w:t>10.2.3.3</w:t>
        </w:r>
        <w:r>
          <w:rPr>
            <w:rStyle w:val="Hipercze"/>
            <w:rFonts w:ascii="Calibri" w:hAnsi="Calibri"/>
            <w:kern w:val="2"/>
            <w:sz w:val="22"/>
            <w:szCs w:val="22"/>
            <w:lang w:val="en-IE" w:eastAsia="en-IE"/>
          </w:rPr>
          <w:tab/>
        </w:r>
        <w:r>
          <w:rPr>
            <w:rStyle w:val="Hipercze"/>
          </w:rPr>
          <w:t>STEP 3, Stage 3: screening for toxicity</w:t>
        </w:r>
        <w:r>
          <w:rPr>
            <w:rStyle w:val="Hipercze"/>
            <w:webHidden/>
          </w:rPr>
          <w:tab/>
        </w:r>
        <w:r>
          <w:rPr>
            <w:rStyle w:val="Hipercze"/>
            <w:webHidden/>
          </w:rPr>
          <w:fldChar w:fldCharType="begin"/>
        </w:r>
        <w:r>
          <w:rPr>
            <w:rStyle w:val="Hipercze"/>
            <w:webHidden/>
          </w:rPr>
          <w:instrText xml:space="preserve"> PAGEREF _Toc150777374 \h </w:instrText>
        </w:r>
        <w:r>
          <w:rPr>
            <w:rStyle w:val="Hipercze"/>
            <w:webHidden/>
          </w:rPr>
        </w:r>
        <w:r>
          <w:rPr>
            <w:rStyle w:val="Hipercze"/>
            <w:webHidden/>
          </w:rPr>
          <w:fldChar w:fldCharType="separate"/>
        </w:r>
        <w:r>
          <w:rPr>
            <w:rStyle w:val="Hipercze"/>
            <w:webHidden/>
          </w:rPr>
          <w:t>12</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18" w:anchor="_Toc150777375" w:history="1">
        <w:r>
          <w:rPr>
            <w:rStyle w:val="Hipercze"/>
          </w:rPr>
          <w:t>10.2.4</w:t>
        </w:r>
        <w:r>
          <w:rPr>
            <w:rStyle w:val="Hipercze"/>
            <w:rFonts w:ascii="Calibri" w:hAnsi="Calibri"/>
            <w:kern w:val="2"/>
            <w:sz w:val="22"/>
            <w:szCs w:val="22"/>
            <w:lang w:val="en-IE" w:eastAsia="en-IE"/>
          </w:rPr>
          <w:tab/>
        </w:r>
        <w:r>
          <w:rPr>
            <w:rStyle w:val="Hipercze"/>
          </w:rPr>
          <w:t>STEP 4: Exposure assessment – threshold of concern approach</w:t>
        </w:r>
        <w:r>
          <w:rPr>
            <w:rStyle w:val="Hipercze"/>
            <w:webHidden/>
          </w:rPr>
          <w:tab/>
        </w:r>
        <w:r>
          <w:rPr>
            <w:rStyle w:val="Hipercze"/>
            <w:webHidden/>
          </w:rPr>
          <w:fldChar w:fldCharType="begin"/>
        </w:r>
        <w:r>
          <w:rPr>
            <w:rStyle w:val="Hipercze"/>
            <w:webHidden/>
          </w:rPr>
          <w:instrText xml:space="preserve"> PAGEREF _Toc150777375 \h </w:instrText>
        </w:r>
        <w:r>
          <w:rPr>
            <w:rStyle w:val="Hipercze"/>
            <w:webHidden/>
          </w:rPr>
        </w:r>
        <w:r>
          <w:rPr>
            <w:rStyle w:val="Hipercze"/>
            <w:webHidden/>
          </w:rPr>
          <w:fldChar w:fldCharType="separate"/>
        </w:r>
        <w:r>
          <w:rPr>
            <w:rStyle w:val="Hipercze"/>
            <w:webHidden/>
          </w:rPr>
          <w:t>12</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19" w:anchor="_Toc150777376" w:history="1">
        <w:r>
          <w:rPr>
            <w:rStyle w:val="Hipercze"/>
          </w:rPr>
          <w:t>10.2.5</w:t>
        </w:r>
        <w:r>
          <w:rPr>
            <w:rStyle w:val="Hipercze"/>
            <w:rFonts w:ascii="Calibri" w:hAnsi="Calibri"/>
            <w:kern w:val="2"/>
            <w:sz w:val="22"/>
            <w:szCs w:val="22"/>
            <w:lang w:val="en-IE" w:eastAsia="en-IE"/>
          </w:rPr>
          <w:tab/>
        </w:r>
        <w:r>
          <w:rPr>
            <w:rStyle w:val="Hipercze"/>
          </w:rPr>
          <w:t>STEP 5: refined risk assessment</w:t>
        </w:r>
        <w:r>
          <w:rPr>
            <w:rStyle w:val="Hipercze"/>
            <w:webHidden/>
          </w:rPr>
          <w:tab/>
        </w:r>
        <w:r>
          <w:rPr>
            <w:rStyle w:val="Hipercze"/>
            <w:webHidden/>
          </w:rPr>
          <w:fldChar w:fldCharType="begin"/>
        </w:r>
        <w:r>
          <w:rPr>
            <w:rStyle w:val="Hipercze"/>
            <w:webHidden/>
          </w:rPr>
          <w:instrText xml:space="preserve"> PAGEREF _Toc150777376 \h </w:instrText>
        </w:r>
        <w:r>
          <w:rPr>
            <w:rStyle w:val="Hipercze"/>
            <w:webHidden/>
          </w:rPr>
        </w:r>
        <w:r>
          <w:rPr>
            <w:rStyle w:val="Hipercze"/>
            <w:webHidden/>
          </w:rPr>
          <w:fldChar w:fldCharType="separate"/>
        </w:r>
        <w:r>
          <w:rPr>
            <w:rStyle w:val="Hipercze"/>
            <w:webHidden/>
          </w:rPr>
          <w:t>12</w:t>
        </w:r>
        <w:r>
          <w:rPr>
            <w:rStyle w:val="Hipercze"/>
            <w:webHidden/>
          </w:rPr>
          <w:fldChar w:fldCharType="end"/>
        </w:r>
      </w:hyperlink>
    </w:p>
    <w:p w:rsidR="00857370" w:rsidRDefault="00857370" w:rsidP="00857370">
      <w:pPr>
        <w:pStyle w:val="Spistreci2"/>
        <w:rPr>
          <w:rFonts w:ascii="Calibri" w:hAnsi="Calibri"/>
          <w:kern w:val="2"/>
          <w:sz w:val="22"/>
          <w:lang w:val="en-IE" w:eastAsia="en-IE"/>
        </w:rPr>
      </w:pPr>
      <w:hyperlink r:id="rId20" w:anchor="_Toc150777377" w:history="1">
        <w:r>
          <w:rPr>
            <w:rStyle w:val="Hipercze"/>
            <w:lang w:eastAsia="en-IE"/>
          </w:rPr>
          <w:t>10.3</w:t>
        </w:r>
        <w:r>
          <w:rPr>
            <w:rStyle w:val="Hipercze"/>
            <w:rFonts w:ascii="Calibri" w:hAnsi="Calibri"/>
            <w:kern w:val="2"/>
            <w:sz w:val="22"/>
            <w:lang w:val="en-IE" w:eastAsia="en-IE"/>
          </w:rPr>
          <w:tab/>
        </w:r>
        <w:r>
          <w:rPr>
            <w:rStyle w:val="Hipercze"/>
            <w:lang w:val="en-IE" w:eastAsia="en-IE"/>
          </w:rPr>
          <w:t>Relevance assessment of AE F160460, metabolite of mesosulfuron-methyl</w:t>
        </w:r>
        <w:r>
          <w:rPr>
            <w:rStyle w:val="Hipercze"/>
            <w:webHidden/>
          </w:rPr>
          <w:tab/>
        </w:r>
        <w:r>
          <w:rPr>
            <w:rStyle w:val="Hipercze"/>
            <w:webHidden/>
          </w:rPr>
          <w:fldChar w:fldCharType="begin"/>
        </w:r>
        <w:r>
          <w:rPr>
            <w:rStyle w:val="Hipercze"/>
            <w:webHidden/>
          </w:rPr>
          <w:instrText xml:space="preserve"> PAGEREF _Toc150777377 \h </w:instrText>
        </w:r>
        <w:r>
          <w:rPr>
            <w:rStyle w:val="Hipercze"/>
            <w:webHidden/>
          </w:rPr>
        </w:r>
        <w:r>
          <w:rPr>
            <w:rStyle w:val="Hipercze"/>
            <w:webHidden/>
          </w:rPr>
          <w:fldChar w:fldCharType="separate"/>
        </w:r>
        <w:r>
          <w:rPr>
            <w:rStyle w:val="Hipercze"/>
            <w:webHidden/>
          </w:rPr>
          <w:t>12</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1" w:anchor="_Toc150777378" w:history="1">
        <w:r>
          <w:rPr>
            <w:rStyle w:val="Hipercze"/>
          </w:rPr>
          <w:t>10.3.1</w:t>
        </w:r>
        <w:r>
          <w:rPr>
            <w:rStyle w:val="Hipercze"/>
            <w:rFonts w:ascii="Calibri" w:hAnsi="Calibri"/>
            <w:kern w:val="2"/>
            <w:sz w:val="22"/>
            <w:szCs w:val="22"/>
            <w:lang w:val="en-IE" w:eastAsia="en-IE"/>
          </w:rPr>
          <w:tab/>
        </w:r>
        <w:r>
          <w:rPr>
            <w:rStyle w:val="Hipercze"/>
          </w:rPr>
          <w:t>STEP 1: Exclusion of degradation products of no concern</w:t>
        </w:r>
        <w:r>
          <w:rPr>
            <w:rStyle w:val="Hipercze"/>
            <w:webHidden/>
          </w:rPr>
          <w:tab/>
        </w:r>
        <w:r>
          <w:rPr>
            <w:rStyle w:val="Hipercze"/>
            <w:webHidden/>
          </w:rPr>
          <w:fldChar w:fldCharType="begin"/>
        </w:r>
        <w:r>
          <w:rPr>
            <w:rStyle w:val="Hipercze"/>
            <w:webHidden/>
          </w:rPr>
          <w:instrText xml:space="preserve"> PAGEREF _Toc150777378 \h </w:instrText>
        </w:r>
        <w:r>
          <w:rPr>
            <w:rStyle w:val="Hipercze"/>
            <w:webHidden/>
          </w:rPr>
        </w:r>
        <w:r>
          <w:rPr>
            <w:rStyle w:val="Hipercze"/>
            <w:webHidden/>
          </w:rPr>
          <w:fldChar w:fldCharType="separate"/>
        </w:r>
        <w:r>
          <w:rPr>
            <w:rStyle w:val="Hipercze"/>
            <w:webHidden/>
          </w:rPr>
          <w:t>13</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2" w:anchor="_Toc150777379" w:history="1">
        <w:r>
          <w:rPr>
            <w:rStyle w:val="Hipercze"/>
          </w:rPr>
          <w:t>10.3.2</w:t>
        </w:r>
        <w:r>
          <w:rPr>
            <w:rStyle w:val="Hipercze"/>
            <w:rFonts w:ascii="Calibri" w:hAnsi="Calibri"/>
            <w:kern w:val="2"/>
            <w:sz w:val="22"/>
            <w:szCs w:val="22"/>
            <w:lang w:val="en-IE" w:eastAsia="en-IE"/>
          </w:rPr>
          <w:tab/>
        </w:r>
        <w:r>
          <w:rPr>
            <w:rStyle w:val="Hipercze"/>
          </w:rPr>
          <w:t>STEP 2: Quantification of potential groundwater contamination</w:t>
        </w:r>
        <w:r>
          <w:rPr>
            <w:rStyle w:val="Hipercze"/>
            <w:webHidden/>
          </w:rPr>
          <w:tab/>
        </w:r>
        <w:r>
          <w:rPr>
            <w:rStyle w:val="Hipercze"/>
            <w:webHidden/>
          </w:rPr>
          <w:fldChar w:fldCharType="begin"/>
        </w:r>
        <w:r>
          <w:rPr>
            <w:rStyle w:val="Hipercze"/>
            <w:webHidden/>
          </w:rPr>
          <w:instrText xml:space="preserve"> PAGEREF _Toc150777379 \h </w:instrText>
        </w:r>
        <w:r>
          <w:rPr>
            <w:rStyle w:val="Hipercze"/>
            <w:webHidden/>
          </w:rPr>
        </w:r>
        <w:r>
          <w:rPr>
            <w:rStyle w:val="Hipercze"/>
            <w:webHidden/>
          </w:rPr>
          <w:fldChar w:fldCharType="separate"/>
        </w:r>
        <w:r>
          <w:rPr>
            <w:rStyle w:val="Hipercze"/>
            <w:webHidden/>
          </w:rPr>
          <w:t>13</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3" w:anchor="_Toc150777380" w:history="1">
        <w:r>
          <w:rPr>
            <w:rStyle w:val="Hipercze"/>
          </w:rPr>
          <w:t>10.3.3</w:t>
        </w:r>
        <w:r>
          <w:rPr>
            <w:rStyle w:val="Hipercze"/>
            <w:rFonts w:ascii="Calibri" w:hAnsi="Calibri"/>
            <w:kern w:val="2"/>
            <w:sz w:val="22"/>
            <w:szCs w:val="22"/>
            <w:lang w:val="en-IE" w:eastAsia="en-IE"/>
          </w:rPr>
          <w:tab/>
        </w:r>
        <w:r>
          <w:rPr>
            <w:rStyle w:val="Hipercze"/>
          </w:rPr>
          <w:t>STEP 3: Hazard assessment – identification of relevant metabolites</w:t>
        </w:r>
        <w:r>
          <w:rPr>
            <w:rStyle w:val="Hipercze"/>
            <w:webHidden/>
          </w:rPr>
          <w:tab/>
        </w:r>
        <w:r>
          <w:rPr>
            <w:rStyle w:val="Hipercze"/>
            <w:webHidden/>
          </w:rPr>
          <w:fldChar w:fldCharType="begin"/>
        </w:r>
        <w:r>
          <w:rPr>
            <w:rStyle w:val="Hipercze"/>
            <w:webHidden/>
          </w:rPr>
          <w:instrText xml:space="preserve"> PAGEREF _Toc150777380 \h </w:instrText>
        </w:r>
        <w:r>
          <w:rPr>
            <w:rStyle w:val="Hipercze"/>
            <w:webHidden/>
          </w:rPr>
        </w:r>
        <w:r>
          <w:rPr>
            <w:rStyle w:val="Hipercze"/>
            <w:webHidden/>
          </w:rPr>
          <w:fldChar w:fldCharType="separate"/>
        </w:r>
        <w:r>
          <w:rPr>
            <w:rStyle w:val="Hipercze"/>
            <w:webHidden/>
          </w:rPr>
          <w:t>13</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24" w:anchor="_Toc150777381" w:history="1">
        <w:r>
          <w:rPr>
            <w:rStyle w:val="Hipercze"/>
          </w:rPr>
          <w:t>10.3.3.2</w:t>
        </w:r>
        <w:r>
          <w:rPr>
            <w:rStyle w:val="Hipercze"/>
            <w:rFonts w:ascii="Calibri" w:hAnsi="Calibri"/>
            <w:kern w:val="2"/>
            <w:sz w:val="22"/>
            <w:szCs w:val="22"/>
            <w:lang w:val="en-IE" w:eastAsia="en-IE"/>
          </w:rPr>
          <w:tab/>
        </w:r>
        <w:r>
          <w:rPr>
            <w:rStyle w:val="Hipercze"/>
          </w:rPr>
          <w:t>STEP 3, Stage 2: screening for genotoxicity</w:t>
        </w:r>
        <w:r>
          <w:rPr>
            <w:rStyle w:val="Hipercze"/>
            <w:webHidden/>
          </w:rPr>
          <w:tab/>
        </w:r>
        <w:r>
          <w:rPr>
            <w:rStyle w:val="Hipercze"/>
            <w:webHidden/>
          </w:rPr>
          <w:fldChar w:fldCharType="begin"/>
        </w:r>
        <w:r>
          <w:rPr>
            <w:rStyle w:val="Hipercze"/>
            <w:webHidden/>
          </w:rPr>
          <w:instrText xml:space="preserve"> PAGEREF _Toc150777381 \h </w:instrText>
        </w:r>
        <w:r>
          <w:rPr>
            <w:rStyle w:val="Hipercze"/>
            <w:webHidden/>
          </w:rPr>
        </w:r>
        <w:r>
          <w:rPr>
            <w:rStyle w:val="Hipercze"/>
            <w:webHidden/>
          </w:rPr>
          <w:fldChar w:fldCharType="separate"/>
        </w:r>
        <w:r>
          <w:rPr>
            <w:rStyle w:val="Hipercze"/>
            <w:webHidden/>
          </w:rPr>
          <w:t>13</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25" w:anchor="_Toc150777382" w:history="1">
        <w:r>
          <w:rPr>
            <w:rStyle w:val="Hipercze"/>
          </w:rPr>
          <w:t>10.3.3.3</w:t>
        </w:r>
        <w:r>
          <w:rPr>
            <w:rStyle w:val="Hipercze"/>
            <w:rFonts w:ascii="Calibri" w:hAnsi="Calibri"/>
            <w:kern w:val="2"/>
            <w:sz w:val="22"/>
            <w:szCs w:val="22"/>
            <w:lang w:val="en-IE" w:eastAsia="en-IE"/>
          </w:rPr>
          <w:tab/>
        </w:r>
        <w:r>
          <w:rPr>
            <w:rStyle w:val="Hipercze"/>
          </w:rPr>
          <w:t>STEP 3, Stage 3: screening for toxicity</w:t>
        </w:r>
        <w:r>
          <w:rPr>
            <w:rStyle w:val="Hipercze"/>
            <w:webHidden/>
          </w:rPr>
          <w:tab/>
        </w:r>
        <w:r>
          <w:rPr>
            <w:rStyle w:val="Hipercze"/>
            <w:webHidden/>
          </w:rPr>
          <w:fldChar w:fldCharType="begin"/>
        </w:r>
        <w:r>
          <w:rPr>
            <w:rStyle w:val="Hipercze"/>
            <w:webHidden/>
          </w:rPr>
          <w:instrText xml:space="preserve"> PAGEREF _Toc150777382 \h </w:instrText>
        </w:r>
        <w:r>
          <w:rPr>
            <w:rStyle w:val="Hipercze"/>
            <w:webHidden/>
          </w:rPr>
        </w:r>
        <w:r>
          <w:rPr>
            <w:rStyle w:val="Hipercze"/>
            <w:webHidden/>
          </w:rPr>
          <w:fldChar w:fldCharType="separate"/>
        </w:r>
        <w:r>
          <w:rPr>
            <w:rStyle w:val="Hipercze"/>
            <w:webHidden/>
          </w:rPr>
          <w:t>14</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6" w:anchor="_Toc150777383" w:history="1">
        <w:r>
          <w:rPr>
            <w:rStyle w:val="Hipercze"/>
          </w:rPr>
          <w:t>10.3.4</w:t>
        </w:r>
        <w:r>
          <w:rPr>
            <w:rStyle w:val="Hipercze"/>
            <w:rFonts w:ascii="Calibri" w:hAnsi="Calibri"/>
            <w:kern w:val="2"/>
            <w:sz w:val="22"/>
            <w:szCs w:val="22"/>
            <w:lang w:val="en-IE" w:eastAsia="en-IE"/>
          </w:rPr>
          <w:tab/>
        </w:r>
        <w:r>
          <w:rPr>
            <w:rStyle w:val="Hipercze"/>
          </w:rPr>
          <w:t>STEP 4: Exposure assessment – threshold of concern approach</w:t>
        </w:r>
        <w:r>
          <w:rPr>
            <w:rStyle w:val="Hipercze"/>
            <w:webHidden/>
          </w:rPr>
          <w:tab/>
        </w:r>
        <w:r>
          <w:rPr>
            <w:rStyle w:val="Hipercze"/>
            <w:webHidden/>
          </w:rPr>
          <w:fldChar w:fldCharType="begin"/>
        </w:r>
        <w:r>
          <w:rPr>
            <w:rStyle w:val="Hipercze"/>
            <w:webHidden/>
          </w:rPr>
          <w:instrText xml:space="preserve"> PAGEREF _Toc150777383 \h </w:instrText>
        </w:r>
        <w:r>
          <w:rPr>
            <w:rStyle w:val="Hipercze"/>
            <w:webHidden/>
          </w:rPr>
        </w:r>
        <w:r>
          <w:rPr>
            <w:rStyle w:val="Hipercze"/>
            <w:webHidden/>
          </w:rPr>
          <w:fldChar w:fldCharType="separate"/>
        </w:r>
        <w:r>
          <w:rPr>
            <w:rStyle w:val="Hipercze"/>
            <w:webHidden/>
          </w:rPr>
          <w:t>14</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7" w:anchor="_Toc150777384" w:history="1">
        <w:r>
          <w:rPr>
            <w:rStyle w:val="Hipercze"/>
          </w:rPr>
          <w:t>10.3.5</w:t>
        </w:r>
        <w:r>
          <w:rPr>
            <w:rStyle w:val="Hipercze"/>
            <w:rFonts w:ascii="Calibri" w:hAnsi="Calibri"/>
            <w:kern w:val="2"/>
            <w:sz w:val="22"/>
            <w:szCs w:val="22"/>
            <w:lang w:val="en-IE" w:eastAsia="en-IE"/>
          </w:rPr>
          <w:tab/>
        </w:r>
        <w:r>
          <w:rPr>
            <w:rStyle w:val="Hipercze"/>
          </w:rPr>
          <w:t>STEP 5: Refined risk assessment</w:t>
        </w:r>
        <w:r>
          <w:rPr>
            <w:rStyle w:val="Hipercze"/>
            <w:webHidden/>
          </w:rPr>
          <w:tab/>
        </w:r>
        <w:r>
          <w:rPr>
            <w:rStyle w:val="Hipercze"/>
            <w:webHidden/>
          </w:rPr>
          <w:fldChar w:fldCharType="begin"/>
        </w:r>
        <w:r>
          <w:rPr>
            <w:rStyle w:val="Hipercze"/>
            <w:webHidden/>
          </w:rPr>
          <w:instrText xml:space="preserve"> PAGEREF _Toc150777384 \h </w:instrText>
        </w:r>
        <w:r>
          <w:rPr>
            <w:rStyle w:val="Hipercze"/>
            <w:webHidden/>
          </w:rPr>
        </w:r>
        <w:r>
          <w:rPr>
            <w:rStyle w:val="Hipercze"/>
            <w:webHidden/>
          </w:rPr>
          <w:fldChar w:fldCharType="separate"/>
        </w:r>
        <w:r>
          <w:rPr>
            <w:rStyle w:val="Hipercze"/>
            <w:webHidden/>
          </w:rPr>
          <w:t>14</w:t>
        </w:r>
        <w:r>
          <w:rPr>
            <w:rStyle w:val="Hipercze"/>
            <w:webHidden/>
          </w:rPr>
          <w:fldChar w:fldCharType="end"/>
        </w:r>
      </w:hyperlink>
    </w:p>
    <w:p w:rsidR="00857370" w:rsidRDefault="00857370" w:rsidP="00857370">
      <w:pPr>
        <w:pStyle w:val="Spistreci2"/>
        <w:rPr>
          <w:rFonts w:ascii="Calibri" w:hAnsi="Calibri"/>
          <w:kern w:val="2"/>
          <w:sz w:val="22"/>
          <w:lang w:val="en-IE" w:eastAsia="en-IE"/>
        </w:rPr>
      </w:pPr>
      <w:hyperlink r:id="rId28" w:anchor="_Toc150777385" w:history="1">
        <w:r>
          <w:rPr>
            <w:rStyle w:val="Hipercze"/>
            <w:lang w:val="en-IE"/>
          </w:rPr>
          <w:t>10.4</w:t>
        </w:r>
        <w:r>
          <w:rPr>
            <w:rStyle w:val="Hipercze"/>
            <w:rFonts w:ascii="Calibri" w:hAnsi="Calibri"/>
            <w:kern w:val="2"/>
            <w:sz w:val="22"/>
            <w:lang w:val="en-IE" w:eastAsia="en-IE"/>
          </w:rPr>
          <w:tab/>
        </w:r>
        <w:r>
          <w:rPr>
            <w:rStyle w:val="Hipercze"/>
          </w:rPr>
          <w:t xml:space="preserve">Relevance assessment of AE F147447, </w:t>
        </w:r>
        <w:r>
          <w:rPr>
            <w:rStyle w:val="Hipercze"/>
            <w:lang w:val="en-IE"/>
          </w:rPr>
          <w:t>metabolite of mesosulfuron-methyl</w:t>
        </w:r>
        <w:r>
          <w:rPr>
            <w:rStyle w:val="Hipercze"/>
            <w:webHidden/>
          </w:rPr>
          <w:tab/>
        </w:r>
        <w:r>
          <w:rPr>
            <w:rStyle w:val="Hipercze"/>
            <w:webHidden/>
          </w:rPr>
          <w:fldChar w:fldCharType="begin"/>
        </w:r>
        <w:r>
          <w:rPr>
            <w:rStyle w:val="Hipercze"/>
            <w:webHidden/>
          </w:rPr>
          <w:instrText xml:space="preserve"> PAGEREF _Toc150777385 \h </w:instrText>
        </w:r>
        <w:r>
          <w:rPr>
            <w:rStyle w:val="Hipercze"/>
            <w:webHidden/>
          </w:rPr>
        </w:r>
        <w:r>
          <w:rPr>
            <w:rStyle w:val="Hipercze"/>
            <w:webHidden/>
          </w:rPr>
          <w:fldChar w:fldCharType="separate"/>
        </w:r>
        <w:r>
          <w:rPr>
            <w:rStyle w:val="Hipercze"/>
            <w:webHidden/>
          </w:rPr>
          <w:t>14</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29" w:anchor="_Toc150777386" w:history="1">
        <w:r>
          <w:rPr>
            <w:rStyle w:val="Hipercze"/>
          </w:rPr>
          <w:t>10.4.1</w:t>
        </w:r>
        <w:r>
          <w:rPr>
            <w:rStyle w:val="Hipercze"/>
            <w:rFonts w:ascii="Calibri" w:hAnsi="Calibri"/>
            <w:kern w:val="2"/>
            <w:sz w:val="22"/>
            <w:szCs w:val="22"/>
            <w:lang w:val="en-IE" w:eastAsia="en-IE"/>
          </w:rPr>
          <w:tab/>
        </w:r>
        <w:r>
          <w:rPr>
            <w:rStyle w:val="Hipercze"/>
          </w:rPr>
          <w:t>STEP 1: Exclusion of degradation products of no concern</w:t>
        </w:r>
        <w:r>
          <w:rPr>
            <w:rStyle w:val="Hipercze"/>
            <w:webHidden/>
          </w:rPr>
          <w:tab/>
        </w:r>
        <w:r>
          <w:rPr>
            <w:rStyle w:val="Hipercze"/>
            <w:webHidden/>
          </w:rPr>
          <w:fldChar w:fldCharType="begin"/>
        </w:r>
        <w:r>
          <w:rPr>
            <w:rStyle w:val="Hipercze"/>
            <w:webHidden/>
          </w:rPr>
          <w:instrText xml:space="preserve"> PAGEREF _Toc150777386 \h </w:instrText>
        </w:r>
        <w:r>
          <w:rPr>
            <w:rStyle w:val="Hipercze"/>
            <w:webHidden/>
          </w:rPr>
        </w:r>
        <w:r>
          <w:rPr>
            <w:rStyle w:val="Hipercze"/>
            <w:webHidden/>
          </w:rPr>
          <w:fldChar w:fldCharType="separate"/>
        </w:r>
        <w:r>
          <w:rPr>
            <w:rStyle w:val="Hipercze"/>
            <w:webHidden/>
          </w:rPr>
          <w:t>15</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0" w:anchor="_Toc150777387" w:history="1">
        <w:r>
          <w:rPr>
            <w:rStyle w:val="Hipercze"/>
          </w:rPr>
          <w:t>10.4.2</w:t>
        </w:r>
        <w:r>
          <w:rPr>
            <w:rStyle w:val="Hipercze"/>
            <w:rFonts w:ascii="Calibri" w:hAnsi="Calibri"/>
            <w:kern w:val="2"/>
            <w:sz w:val="22"/>
            <w:szCs w:val="22"/>
            <w:lang w:val="en-IE" w:eastAsia="en-IE"/>
          </w:rPr>
          <w:tab/>
        </w:r>
        <w:r>
          <w:rPr>
            <w:rStyle w:val="Hipercze"/>
          </w:rPr>
          <w:t>STEP 2: Quantification of potential groundwater contamination</w:t>
        </w:r>
        <w:r>
          <w:rPr>
            <w:rStyle w:val="Hipercze"/>
            <w:webHidden/>
          </w:rPr>
          <w:tab/>
        </w:r>
        <w:r>
          <w:rPr>
            <w:rStyle w:val="Hipercze"/>
            <w:webHidden/>
          </w:rPr>
          <w:fldChar w:fldCharType="begin"/>
        </w:r>
        <w:r>
          <w:rPr>
            <w:rStyle w:val="Hipercze"/>
            <w:webHidden/>
          </w:rPr>
          <w:instrText xml:space="preserve"> PAGEREF _Toc150777387 \h </w:instrText>
        </w:r>
        <w:r>
          <w:rPr>
            <w:rStyle w:val="Hipercze"/>
            <w:webHidden/>
          </w:rPr>
        </w:r>
        <w:r>
          <w:rPr>
            <w:rStyle w:val="Hipercze"/>
            <w:webHidden/>
          </w:rPr>
          <w:fldChar w:fldCharType="separate"/>
        </w:r>
        <w:r>
          <w:rPr>
            <w:rStyle w:val="Hipercze"/>
            <w:webHidden/>
          </w:rPr>
          <w:t>15</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1" w:anchor="_Toc150777388" w:history="1">
        <w:r>
          <w:rPr>
            <w:rStyle w:val="Hipercze"/>
          </w:rPr>
          <w:t>10.4.3</w:t>
        </w:r>
        <w:r>
          <w:rPr>
            <w:rStyle w:val="Hipercze"/>
            <w:rFonts w:ascii="Calibri" w:hAnsi="Calibri"/>
            <w:kern w:val="2"/>
            <w:sz w:val="22"/>
            <w:szCs w:val="22"/>
            <w:lang w:val="en-IE" w:eastAsia="en-IE"/>
          </w:rPr>
          <w:tab/>
        </w:r>
        <w:r>
          <w:rPr>
            <w:rStyle w:val="Hipercze"/>
          </w:rPr>
          <w:t>STEP 3: Hazard assessment – identification of relevant metabolites</w:t>
        </w:r>
        <w:r>
          <w:rPr>
            <w:rStyle w:val="Hipercze"/>
            <w:webHidden/>
          </w:rPr>
          <w:tab/>
        </w:r>
        <w:r>
          <w:rPr>
            <w:rStyle w:val="Hipercze"/>
            <w:webHidden/>
          </w:rPr>
          <w:fldChar w:fldCharType="begin"/>
        </w:r>
        <w:r>
          <w:rPr>
            <w:rStyle w:val="Hipercze"/>
            <w:webHidden/>
          </w:rPr>
          <w:instrText xml:space="preserve"> PAGEREF _Toc150777388 \h </w:instrText>
        </w:r>
        <w:r>
          <w:rPr>
            <w:rStyle w:val="Hipercze"/>
            <w:webHidden/>
          </w:rPr>
        </w:r>
        <w:r>
          <w:rPr>
            <w:rStyle w:val="Hipercze"/>
            <w:webHidden/>
          </w:rPr>
          <w:fldChar w:fldCharType="separate"/>
        </w:r>
        <w:r>
          <w:rPr>
            <w:rStyle w:val="Hipercze"/>
            <w:webHidden/>
          </w:rPr>
          <w:t>15</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32" w:anchor="_Toc150777389" w:history="1">
        <w:r>
          <w:rPr>
            <w:rStyle w:val="Hipercze"/>
            <w:lang w:val="en-GB"/>
          </w:rPr>
          <w:t>10.4.3.1</w:t>
        </w:r>
        <w:r>
          <w:rPr>
            <w:rStyle w:val="Hipercze"/>
            <w:rFonts w:ascii="Calibri" w:hAnsi="Calibri"/>
            <w:kern w:val="2"/>
            <w:sz w:val="22"/>
            <w:szCs w:val="22"/>
            <w:lang w:val="en-IE" w:eastAsia="en-IE"/>
          </w:rPr>
          <w:tab/>
        </w:r>
        <w:r>
          <w:rPr>
            <w:rStyle w:val="Hipercze"/>
            <w:lang w:val="en-GB"/>
          </w:rPr>
          <w:t>STEP 3, Stage 1: screening for biological activity</w:t>
        </w:r>
        <w:r>
          <w:rPr>
            <w:rStyle w:val="Hipercze"/>
            <w:webHidden/>
          </w:rPr>
          <w:tab/>
        </w:r>
        <w:r>
          <w:rPr>
            <w:rStyle w:val="Hipercze"/>
            <w:webHidden/>
          </w:rPr>
          <w:fldChar w:fldCharType="begin"/>
        </w:r>
        <w:r>
          <w:rPr>
            <w:rStyle w:val="Hipercze"/>
            <w:webHidden/>
          </w:rPr>
          <w:instrText xml:space="preserve"> PAGEREF _Toc150777389 \h </w:instrText>
        </w:r>
        <w:r>
          <w:rPr>
            <w:rStyle w:val="Hipercze"/>
            <w:webHidden/>
          </w:rPr>
        </w:r>
        <w:r>
          <w:rPr>
            <w:rStyle w:val="Hipercze"/>
            <w:webHidden/>
          </w:rPr>
          <w:fldChar w:fldCharType="separate"/>
        </w:r>
        <w:r>
          <w:rPr>
            <w:rStyle w:val="Hipercze"/>
            <w:webHidden/>
          </w:rPr>
          <w:t>15</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33" w:anchor="_Toc150777390" w:history="1">
        <w:r>
          <w:rPr>
            <w:rStyle w:val="Hipercze"/>
            <w:rFonts w:eastAsia="Calibri"/>
          </w:rPr>
          <w:t>10.4.3.2</w:t>
        </w:r>
        <w:r>
          <w:rPr>
            <w:rStyle w:val="Hipercze"/>
            <w:rFonts w:ascii="Calibri" w:hAnsi="Calibri"/>
            <w:kern w:val="2"/>
            <w:sz w:val="22"/>
            <w:szCs w:val="22"/>
            <w:lang w:val="en-IE" w:eastAsia="en-IE"/>
          </w:rPr>
          <w:tab/>
        </w:r>
        <w:r>
          <w:rPr>
            <w:rStyle w:val="Hipercze"/>
            <w:rFonts w:eastAsia="Calibri"/>
          </w:rPr>
          <w:t>STEP 3, Stage 2: screening for genotoxicity</w:t>
        </w:r>
        <w:r>
          <w:rPr>
            <w:rStyle w:val="Hipercze"/>
            <w:webHidden/>
          </w:rPr>
          <w:tab/>
        </w:r>
        <w:r>
          <w:rPr>
            <w:rStyle w:val="Hipercze"/>
            <w:webHidden/>
          </w:rPr>
          <w:fldChar w:fldCharType="begin"/>
        </w:r>
        <w:r>
          <w:rPr>
            <w:rStyle w:val="Hipercze"/>
            <w:webHidden/>
          </w:rPr>
          <w:instrText xml:space="preserve"> PAGEREF _Toc150777390 \h </w:instrText>
        </w:r>
        <w:r>
          <w:rPr>
            <w:rStyle w:val="Hipercze"/>
            <w:webHidden/>
          </w:rPr>
        </w:r>
        <w:r>
          <w:rPr>
            <w:rStyle w:val="Hipercze"/>
            <w:webHidden/>
          </w:rPr>
          <w:fldChar w:fldCharType="separate"/>
        </w:r>
        <w:r>
          <w:rPr>
            <w:rStyle w:val="Hipercze"/>
            <w:webHidden/>
          </w:rPr>
          <w:t>15</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34" w:anchor="_Toc150777391" w:history="1">
        <w:r>
          <w:rPr>
            <w:rStyle w:val="Hipercze"/>
          </w:rPr>
          <w:t>10.4.3.3</w:t>
        </w:r>
        <w:r>
          <w:rPr>
            <w:rStyle w:val="Hipercze"/>
            <w:rFonts w:ascii="Calibri" w:hAnsi="Calibri"/>
            <w:kern w:val="2"/>
            <w:sz w:val="22"/>
            <w:szCs w:val="22"/>
            <w:lang w:val="en-IE" w:eastAsia="en-IE"/>
          </w:rPr>
          <w:tab/>
        </w:r>
        <w:r>
          <w:rPr>
            <w:rStyle w:val="Hipercze"/>
          </w:rPr>
          <w:t>STEP 3, Stage 3: screening for toxicity</w:t>
        </w:r>
        <w:r>
          <w:rPr>
            <w:rStyle w:val="Hipercze"/>
            <w:webHidden/>
          </w:rPr>
          <w:tab/>
        </w:r>
        <w:r>
          <w:rPr>
            <w:rStyle w:val="Hipercze"/>
            <w:webHidden/>
          </w:rPr>
          <w:fldChar w:fldCharType="begin"/>
        </w:r>
        <w:r>
          <w:rPr>
            <w:rStyle w:val="Hipercze"/>
            <w:webHidden/>
          </w:rPr>
          <w:instrText xml:space="preserve"> PAGEREF _Toc150777391 \h </w:instrText>
        </w:r>
        <w:r>
          <w:rPr>
            <w:rStyle w:val="Hipercze"/>
            <w:webHidden/>
          </w:rPr>
        </w:r>
        <w:r>
          <w:rPr>
            <w:rStyle w:val="Hipercze"/>
            <w:webHidden/>
          </w:rPr>
          <w:fldChar w:fldCharType="separate"/>
        </w:r>
        <w:r>
          <w:rPr>
            <w:rStyle w:val="Hipercze"/>
            <w:webHidden/>
          </w:rPr>
          <w:t>16</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5" w:anchor="_Toc150777392" w:history="1">
        <w:r>
          <w:rPr>
            <w:rStyle w:val="Hipercze"/>
          </w:rPr>
          <w:t>10.4.4</w:t>
        </w:r>
        <w:r>
          <w:rPr>
            <w:rStyle w:val="Hipercze"/>
            <w:rFonts w:ascii="Calibri" w:hAnsi="Calibri"/>
            <w:kern w:val="2"/>
            <w:sz w:val="22"/>
            <w:szCs w:val="22"/>
            <w:lang w:val="en-IE" w:eastAsia="en-IE"/>
          </w:rPr>
          <w:tab/>
        </w:r>
        <w:r>
          <w:rPr>
            <w:rStyle w:val="Hipercze"/>
          </w:rPr>
          <w:t>STEP 4: Exposure assessment – threshold of concern approach</w:t>
        </w:r>
        <w:r>
          <w:rPr>
            <w:rStyle w:val="Hipercze"/>
            <w:webHidden/>
          </w:rPr>
          <w:tab/>
        </w:r>
        <w:r>
          <w:rPr>
            <w:rStyle w:val="Hipercze"/>
            <w:webHidden/>
          </w:rPr>
          <w:fldChar w:fldCharType="begin"/>
        </w:r>
        <w:r>
          <w:rPr>
            <w:rStyle w:val="Hipercze"/>
            <w:webHidden/>
          </w:rPr>
          <w:instrText xml:space="preserve"> PAGEREF _Toc150777392 \h </w:instrText>
        </w:r>
        <w:r>
          <w:rPr>
            <w:rStyle w:val="Hipercze"/>
            <w:webHidden/>
          </w:rPr>
        </w:r>
        <w:r>
          <w:rPr>
            <w:rStyle w:val="Hipercze"/>
            <w:webHidden/>
          </w:rPr>
          <w:fldChar w:fldCharType="separate"/>
        </w:r>
        <w:r>
          <w:rPr>
            <w:rStyle w:val="Hipercze"/>
            <w:webHidden/>
          </w:rPr>
          <w:t>16</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6" w:anchor="_Toc150777393" w:history="1">
        <w:r>
          <w:rPr>
            <w:rStyle w:val="Hipercze"/>
          </w:rPr>
          <w:t>10.4.5</w:t>
        </w:r>
        <w:r>
          <w:rPr>
            <w:rStyle w:val="Hipercze"/>
            <w:rFonts w:ascii="Calibri" w:hAnsi="Calibri"/>
            <w:kern w:val="2"/>
            <w:sz w:val="22"/>
            <w:szCs w:val="22"/>
            <w:lang w:val="en-IE" w:eastAsia="en-IE"/>
          </w:rPr>
          <w:tab/>
        </w:r>
        <w:r>
          <w:rPr>
            <w:rStyle w:val="Hipercze"/>
          </w:rPr>
          <w:t>STEP 5: refined risk assessment</w:t>
        </w:r>
        <w:r>
          <w:rPr>
            <w:rStyle w:val="Hipercze"/>
            <w:webHidden/>
          </w:rPr>
          <w:tab/>
        </w:r>
        <w:r>
          <w:rPr>
            <w:rStyle w:val="Hipercze"/>
            <w:webHidden/>
          </w:rPr>
          <w:fldChar w:fldCharType="begin"/>
        </w:r>
        <w:r>
          <w:rPr>
            <w:rStyle w:val="Hipercze"/>
            <w:webHidden/>
          </w:rPr>
          <w:instrText xml:space="preserve"> PAGEREF _Toc150777393 \h </w:instrText>
        </w:r>
        <w:r>
          <w:rPr>
            <w:rStyle w:val="Hipercze"/>
            <w:webHidden/>
          </w:rPr>
        </w:r>
        <w:r>
          <w:rPr>
            <w:rStyle w:val="Hipercze"/>
            <w:webHidden/>
          </w:rPr>
          <w:fldChar w:fldCharType="separate"/>
        </w:r>
        <w:r>
          <w:rPr>
            <w:rStyle w:val="Hipercze"/>
            <w:webHidden/>
          </w:rPr>
          <w:t>16</w:t>
        </w:r>
        <w:r>
          <w:rPr>
            <w:rStyle w:val="Hipercze"/>
            <w:webHidden/>
          </w:rPr>
          <w:fldChar w:fldCharType="end"/>
        </w:r>
      </w:hyperlink>
    </w:p>
    <w:p w:rsidR="00857370" w:rsidRDefault="00857370" w:rsidP="00857370">
      <w:pPr>
        <w:pStyle w:val="Spistreci2"/>
        <w:rPr>
          <w:rFonts w:ascii="Calibri" w:hAnsi="Calibri"/>
          <w:kern w:val="2"/>
          <w:sz w:val="22"/>
          <w:lang w:val="en-IE" w:eastAsia="en-IE"/>
        </w:rPr>
      </w:pPr>
      <w:hyperlink r:id="rId37" w:anchor="_Toc150777394" w:history="1">
        <w:r>
          <w:rPr>
            <w:rStyle w:val="Hipercze"/>
          </w:rPr>
          <w:t>10.5</w:t>
        </w:r>
        <w:r>
          <w:rPr>
            <w:rStyle w:val="Hipercze"/>
            <w:rFonts w:ascii="Calibri" w:hAnsi="Calibri"/>
            <w:kern w:val="2"/>
            <w:sz w:val="22"/>
            <w:lang w:val="en-IE" w:eastAsia="en-IE"/>
          </w:rPr>
          <w:tab/>
        </w:r>
        <w:r>
          <w:rPr>
            <w:rStyle w:val="Hipercze"/>
          </w:rPr>
          <w:t>Relevance assessment of BCS-CV14885, metabolite of mesosulfuron-methyl</w:t>
        </w:r>
        <w:r>
          <w:rPr>
            <w:rStyle w:val="Hipercze"/>
            <w:webHidden/>
          </w:rPr>
          <w:tab/>
        </w:r>
        <w:r>
          <w:rPr>
            <w:rStyle w:val="Hipercze"/>
            <w:webHidden/>
          </w:rPr>
          <w:fldChar w:fldCharType="begin"/>
        </w:r>
        <w:r>
          <w:rPr>
            <w:rStyle w:val="Hipercze"/>
            <w:webHidden/>
          </w:rPr>
          <w:instrText xml:space="preserve"> PAGEREF _Toc150777394 \h </w:instrText>
        </w:r>
        <w:r>
          <w:rPr>
            <w:rStyle w:val="Hipercze"/>
            <w:webHidden/>
          </w:rPr>
        </w:r>
        <w:r>
          <w:rPr>
            <w:rStyle w:val="Hipercze"/>
            <w:webHidden/>
          </w:rPr>
          <w:fldChar w:fldCharType="separate"/>
        </w:r>
        <w:r>
          <w:rPr>
            <w:rStyle w:val="Hipercze"/>
            <w:webHidden/>
          </w:rPr>
          <w:t>16</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8" w:anchor="_Toc150777395" w:history="1">
        <w:r>
          <w:rPr>
            <w:rStyle w:val="Hipercze"/>
          </w:rPr>
          <w:t>10.5.1</w:t>
        </w:r>
        <w:r>
          <w:rPr>
            <w:rStyle w:val="Hipercze"/>
            <w:rFonts w:ascii="Calibri" w:hAnsi="Calibri"/>
            <w:kern w:val="2"/>
            <w:sz w:val="22"/>
            <w:szCs w:val="22"/>
            <w:lang w:val="en-IE" w:eastAsia="en-IE"/>
          </w:rPr>
          <w:tab/>
        </w:r>
        <w:r>
          <w:rPr>
            <w:rStyle w:val="Hipercze"/>
          </w:rPr>
          <w:t>STEP 1: Exclusion of degradation products of no concern</w:t>
        </w:r>
        <w:r>
          <w:rPr>
            <w:rStyle w:val="Hipercze"/>
            <w:webHidden/>
          </w:rPr>
          <w:tab/>
        </w:r>
        <w:r>
          <w:rPr>
            <w:rStyle w:val="Hipercze"/>
            <w:webHidden/>
          </w:rPr>
          <w:fldChar w:fldCharType="begin"/>
        </w:r>
        <w:r>
          <w:rPr>
            <w:rStyle w:val="Hipercze"/>
            <w:webHidden/>
          </w:rPr>
          <w:instrText xml:space="preserve"> PAGEREF _Toc150777395 \h </w:instrText>
        </w:r>
        <w:r>
          <w:rPr>
            <w:rStyle w:val="Hipercze"/>
            <w:webHidden/>
          </w:rPr>
        </w:r>
        <w:r>
          <w:rPr>
            <w:rStyle w:val="Hipercze"/>
            <w:webHidden/>
          </w:rPr>
          <w:fldChar w:fldCharType="separate"/>
        </w:r>
        <w:r>
          <w:rPr>
            <w:rStyle w:val="Hipercze"/>
            <w:webHidden/>
          </w:rPr>
          <w:t>17</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39" w:anchor="_Toc150777396" w:history="1">
        <w:r>
          <w:rPr>
            <w:rStyle w:val="Hipercze"/>
          </w:rPr>
          <w:t>10.5.2</w:t>
        </w:r>
        <w:r>
          <w:rPr>
            <w:rStyle w:val="Hipercze"/>
            <w:rFonts w:ascii="Calibri" w:hAnsi="Calibri"/>
            <w:kern w:val="2"/>
            <w:sz w:val="22"/>
            <w:szCs w:val="22"/>
            <w:lang w:val="en-IE" w:eastAsia="en-IE"/>
          </w:rPr>
          <w:tab/>
        </w:r>
        <w:r>
          <w:rPr>
            <w:rStyle w:val="Hipercze"/>
          </w:rPr>
          <w:t>STEP 2: Quantification of potential groundwater contamination</w:t>
        </w:r>
        <w:r>
          <w:rPr>
            <w:rStyle w:val="Hipercze"/>
            <w:webHidden/>
          </w:rPr>
          <w:tab/>
        </w:r>
        <w:r>
          <w:rPr>
            <w:rStyle w:val="Hipercze"/>
            <w:webHidden/>
          </w:rPr>
          <w:fldChar w:fldCharType="begin"/>
        </w:r>
        <w:r>
          <w:rPr>
            <w:rStyle w:val="Hipercze"/>
            <w:webHidden/>
          </w:rPr>
          <w:instrText xml:space="preserve"> PAGEREF _Toc150777396 \h </w:instrText>
        </w:r>
        <w:r>
          <w:rPr>
            <w:rStyle w:val="Hipercze"/>
            <w:webHidden/>
          </w:rPr>
        </w:r>
        <w:r>
          <w:rPr>
            <w:rStyle w:val="Hipercze"/>
            <w:webHidden/>
          </w:rPr>
          <w:fldChar w:fldCharType="separate"/>
        </w:r>
        <w:r>
          <w:rPr>
            <w:rStyle w:val="Hipercze"/>
            <w:webHidden/>
          </w:rPr>
          <w:t>17</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40" w:anchor="_Toc150777397" w:history="1">
        <w:r>
          <w:rPr>
            <w:rStyle w:val="Hipercze"/>
          </w:rPr>
          <w:t>10.5.3</w:t>
        </w:r>
        <w:r>
          <w:rPr>
            <w:rStyle w:val="Hipercze"/>
            <w:rFonts w:ascii="Calibri" w:hAnsi="Calibri"/>
            <w:kern w:val="2"/>
            <w:sz w:val="22"/>
            <w:szCs w:val="22"/>
            <w:lang w:val="en-IE" w:eastAsia="en-IE"/>
          </w:rPr>
          <w:tab/>
        </w:r>
        <w:r>
          <w:rPr>
            <w:rStyle w:val="Hipercze"/>
          </w:rPr>
          <w:t>STEP 3: Hazard assessment – identification of relevant metabolites</w:t>
        </w:r>
        <w:r>
          <w:rPr>
            <w:rStyle w:val="Hipercze"/>
            <w:webHidden/>
          </w:rPr>
          <w:tab/>
        </w:r>
        <w:r>
          <w:rPr>
            <w:rStyle w:val="Hipercze"/>
            <w:webHidden/>
          </w:rPr>
          <w:fldChar w:fldCharType="begin"/>
        </w:r>
        <w:r>
          <w:rPr>
            <w:rStyle w:val="Hipercze"/>
            <w:webHidden/>
          </w:rPr>
          <w:instrText xml:space="preserve"> PAGEREF _Toc150777397 \h </w:instrText>
        </w:r>
        <w:r>
          <w:rPr>
            <w:rStyle w:val="Hipercze"/>
            <w:webHidden/>
          </w:rPr>
        </w:r>
        <w:r>
          <w:rPr>
            <w:rStyle w:val="Hipercze"/>
            <w:webHidden/>
          </w:rPr>
          <w:fldChar w:fldCharType="separate"/>
        </w:r>
        <w:r>
          <w:rPr>
            <w:rStyle w:val="Hipercze"/>
            <w:webHidden/>
          </w:rPr>
          <w:t>17</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41" w:anchor="_Toc150777398" w:history="1">
        <w:r>
          <w:rPr>
            <w:rStyle w:val="Hipercze"/>
            <w:lang w:val="en-GB"/>
          </w:rPr>
          <w:t>10.5.3.1</w:t>
        </w:r>
        <w:r>
          <w:rPr>
            <w:rStyle w:val="Hipercze"/>
            <w:rFonts w:ascii="Calibri" w:hAnsi="Calibri"/>
            <w:kern w:val="2"/>
            <w:sz w:val="22"/>
            <w:szCs w:val="22"/>
            <w:lang w:val="en-IE" w:eastAsia="en-IE"/>
          </w:rPr>
          <w:tab/>
        </w:r>
        <w:r>
          <w:rPr>
            <w:rStyle w:val="Hipercze"/>
            <w:lang w:val="en-GB"/>
          </w:rPr>
          <w:t>STEP 3, Stage 1: screening for biological activity</w:t>
        </w:r>
        <w:r>
          <w:rPr>
            <w:rStyle w:val="Hipercze"/>
            <w:webHidden/>
          </w:rPr>
          <w:tab/>
        </w:r>
        <w:r>
          <w:rPr>
            <w:rStyle w:val="Hipercze"/>
            <w:webHidden/>
          </w:rPr>
          <w:fldChar w:fldCharType="begin"/>
        </w:r>
        <w:r>
          <w:rPr>
            <w:rStyle w:val="Hipercze"/>
            <w:webHidden/>
          </w:rPr>
          <w:instrText xml:space="preserve"> PAGEREF _Toc150777398 \h </w:instrText>
        </w:r>
        <w:r>
          <w:rPr>
            <w:rStyle w:val="Hipercze"/>
            <w:webHidden/>
          </w:rPr>
        </w:r>
        <w:r>
          <w:rPr>
            <w:rStyle w:val="Hipercze"/>
            <w:webHidden/>
          </w:rPr>
          <w:fldChar w:fldCharType="separate"/>
        </w:r>
        <w:r>
          <w:rPr>
            <w:rStyle w:val="Hipercze"/>
            <w:webHidden/>
          </w:rPr>
          <w:t>17</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42" w:anchor="_Toc150777399" w:history="1">
        <w:r>
          <w:rPr>
            <w:rStyle w:val="Hipercze"/>
          </w:rPr>
          <w:t>10.5.3.2</w:t>
        </w:r>
        <w:r>
          <w:rPr>
            <w:rStyle w:val="Hipercze"/>
            <w:rFonts w:ascii="Calibri" w:hAnsi="Calibri"/>
            <w:kern w:val="2"/>
            <w:sz w:val="22"/>
            <w:szCs w:val="22"/>
            <w:lang w:val="en-IE" w:eastAsia="en-IE"/>
          </w:rPr>
          <w:tab/>
        </w:r>
        <w:r>
          <w:rPr>
            <w:rStyle w:val="Hipercze"/>
          </w:rPr>
          <w:t>STEP 3, Stage 2: screening for genotoxicity</w:t>
        </w:r>
        <w:r>
          <w:rPr>
            <w:rStyle w:val="Hipercze"/>
            <w:webHidden/>
          </w:rPr>
          <w:tab/>
        </w:r>
        <w:r>
          <w:rPr>
            <w:rStyle w:val="Hipercze"/>
            <w:webHidden/>
          </w:rPr>
          <w:fldChar w:fldCharType="begin"/>
        </w:r>
        <w:r>
          <w:rPr>
            <w:rStyle w:val="Hipercze"/>
            <w:webHidden/>
          </w:rPr>
          <w:instrText xml:space="preserve"> PAGEREF _Toc150777399 \h </w:instrText>
        </w:r>
        <w:r>
          <w:rPr>
            <w:rStyle w:val="Hipercze"/>
            <w:webHidden/>
          </w:rPr>
        </w:r>
        <w:r>
          <w:rPr>
            <w:rStyle w:val="Hipercze"/>
            <w:webHidden/>
          </w:rPr>
          <w:fldChar w:fldCharType="separate"/>
        </w:r>
        <w:r>
          <w:rPr>
            <w:rStyle w:val="Hipercze"/>
            <w:webHidden/>
          </w:rPr>
          <w:t>18</w:t>
        </w:r>
        <w:r>
          <w:rPr>
            <w:rStyle w:val="Hipercze"/>
            <w:webHidden/>
          </w:rPr>
          <w:fldChar w:fldCharType="end"/>
        </w:r>
      </w:hyperlink>
    </w:p>
    <w:p w:rsidR="00857370" w:rsidRDefault="00857370" w:rsidP="00857370">
      <w:pPr>
        <w:pStyle w:val="Spistreci4"/>
        <w:rPr>
          <w:rFonts w:ascii="Calibri" w:hAnsi="Calibri"/>
          <w:kern w:val="2"/>
          <w:sz w:val="22"/>
          <w:szCs w:val="22"/>
          <w:lang w:val="en-IE" w:eastAsia="en-IE"/>
        </w:rPr>
      </w:pPr>
      <w:hyperlink r:id="rId43" w:anchor="_Toc150777400" w:history="1">
        <w:r>
          <w:rPr>
            <w:rStyle w:val="Hipercze"/>
          </w:rPr>
          <w:t>10.5.3.3</w:t>
        </w:r>
        <w:r>
          <w:rPr>
            <w:rStyle w:val="Hipercze"/>
            <w:rFonts w:ascii="Calibri" w:hAnsi="Calibri"/>
            <w:kern w:val="2"/>
            <w:sz w:val="22"/>
            <w:szCs w:val="22"/>
            <w:lang w:val="en-IE" w:eastAsia="en-IE"/>
          </w:rPr>
          <w:tab/>
        </w:r>
        <w:r>
          <w:rPr>
            <w:rStyle w:val="Hipercze"/>
          </w:rPr>
          <w:t>STEP 3, Stage 3: screening for toxicity</w:t>
        </w:r>
        <w:r>
          <w:rPr>
            <w:rStyle w:val="Hipercze"/>
            <w:webHidden/>
          </w:rPr>
          <w:tab/>
        </w:r>
        <w:r>
          <w:rPr>
            <w:rStyle w:val="Hipercze"/>
            <w:webHidden/>
          </w:rPr>
          <w:fldChar w:fldCharType="begin"/>
        </w:r>
        <w:r>
          <w:rPr>
            <w:rStyle w:val="Hipercze"/>
            <w:webHidden/>
          </w:rPr>
          <w:instrText xml:space="preserve"> PAGEREF _Toc150777400 \h </w:instrText>
        </w:r>
        <w:r>
          <w:rPr>
            <w:rStyle w:val="Hipercze"/>
            <w:webHidden/>
          </w:rPr>
        </w:r>
        <w:r>
          <w:rPr>
            <w:rStyle w:val="Hipercze"/>
            <w:webHidden/>
          </w:rPr>
          <w:fldChar w:fldCharType="separate"/>
        </w:r>
        <w:r>
          <w:rPr>
            <w:rStyle w:val="Hipercze"/>
            <w:webHidden/>
          </w:rPr>
          <w:t>18</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44" w:anchor="_Toc150777401" w:history="1">
        <w:r>
          <w:rPr>
            <w:rStyle w:val="Hipercze"/>
          </w:rPr>
          <w:t>10.5.4</w:t>
        </w:r>
        <w:r>
          <w:rPr>
            <w:rStyle w:val="Hipercze"/>
            <w:rFonts w:ascii="Calibri" w:hAnsi="Calibri"/>
            <w:kern w:val="2"/>
            <w:sz w:val="22"/>
            <w:szCs w:val="22"/>
            <w:lang w:val="en-IE" w:eastAsia="en-IE"/>
          </w:rPr>
          <w:tab/>
        </w:r>
        <w:r>
          <w:rPr>
            <w:rStyle w:val="Hipercze"/>
          </w:rPr>
          <w:t>STEP 4: Exposure assessment – threshold of concern approach</w:t>
        </w:r>
        <w:r>
          <w:rPr>
            <w:rStyle w:val="Hipercze"/>
            <w:webHidden/>
          </w:rPr>
          <w:tab/>
        </w:r>
        <w:r>
          <w:rPr>
            <w:rStyle w:val="Hipercze"/>
            <w:webHidden/>
          </w:rPr>
          <w:fldChar w:fldCharType="begin"/>
        </w:r>
        <w:r>
          <w:rPr>
            <w:rStyle w:val="Hipercze"/>
            <w:webHidden/>
          </w:rPr>
          <w:instrText xml:space="preserve"> PAGEREF _Toc150777401 \h </w:instrText>
        </w:r>
        <w:r>
          <w:rPr>
            <w:rStyle w:val="Hipercze"/>
            <w:webHidden/>
          </w:rPr>
        </w:r>
        <w:r>
          <w:rPr>
            <w:rStyle w:val="Hipercze"/>
            <w:webHidden/>
          </w:rPr>
          <w:fldChar w:fldCharType="separate"/>
        </w:r>
        <w:r>
          <w:rPr>
            <w:rStyle w:val="Hipercze"/>
            <w:webHidden/>
          </w:rPr>
          <w:t>18</w:t>
        </w:r>
        <w:r>
          <w:rPr>
            <w:rStyle w:val="Hipercze"/>
            <w:webHidden/>
          </w:rPr>
          <w:fldChar w:fldCharType="end"/>
        </w:r>
      </w:hyperlink>
    </w:p>
    <w:p w:rsidR="00857370" w:rsidRDefault="00857370" w:rsidP="00857370">
      <w:pPr>
        <w:pStyle w:val="Spistreci3"/>
        <w:rPr>
          <w:rFonts w:ascii="Calibri" w:hAnsi="Calibri"/>
          <w:kern w:val="2"/>
          <w:sz w:val="22"/>
          <w:szCs w:val="22"/>
          <w:lang w:val="en-IE" w:eastAsia="en-IE"/>
        </w:rPr>
      </w:pPr>
      <w:hyperlink r:id="rId45" w:anchor="_Toc150777402" w:history="1">
        <w:r>
          <w:rPr>
            <w:rStyle w:val="Hipercze"/>
          </w:rPr>
          <w:t>10.5.5</w:t>
        </w:r>
        <w:r>
          <w:rPr>
            <w:rStyle w:val="Hipercze"/>
            <w:rFonts w:ascii="Calibri" w:hAnsi="Calibri"/>
            <w:kern w:val="2"/>
            <w:sz w:val="22"/>
            <w:szCs w:val="22"/>
            <w:lang w:val="en-IE" w:eastAsia="en-IE"/>
          </w:rPr>
          <w:tab/>
        </w:r>
        <w:r>
          <w:rPr>
            <w:rStyle w:val="Hipercze"/>
          </w:rPr>
          <w:t>STEP 5: refined risk assessment</w:t>
        </w:r>
        <w:r>
          <w:rPr>
            <w:rStyle w:val="Hipercze"/>
            <w:webHidden/>
          </w:rPr>
          <w:tab/>
        </w:r>
        <w:r>
          <w:rPr>
            <w:rStyle w:val="Hipercze"/>
            <w:webHidden/>
          </w:rPr>
          <w:fldChar w:fldCharType="begin"/>
        </w:r>
        <w:r>
          <w:rPr>
            <w:rStyle w:val="Hipercze"/>
            <w:webHidden/>
          </w:rPr>
          <w:instrText xml:space="preserve"> PAGEREF _Toc150777402 \h </w:instrText>
        </w:r>
        <w:r>
          <w:rPr>
            <w:rStyle w:val="Hipercze"/>
            <w:webHidden/>
          </w:rPr>
        </w:r>
        <w:r>
          <w:rPr>
            <w:rStyle w:val="Hipercze"/>
            <w:webHidden/>
          </w:rPr>
          <w:fldChar w:fldCharType="separate"/>
        </w:r>
        <w:r>
          <w:rPr>
            <w:rStyle w:val="Hipercze"/>
            <w:webHidden/>
          </w:rPr>
          <w:t>18</w:t>
        </w:r>
        <w:r>
          <w:rPr>
            <w:rStyle w:val="Hipercze"/>
            <w:webHidden/>
          </w:rPr>
          <w:fldChar w:fldCharType="end"/>
        </w:r>
      </w:hyperlink>
    </w:p>
    <w:p w:rsidR="00857370" w:rsidRDefault="00857370" w:rsidP="00857370">
      <w:pPr>
        <w:pStyle w:val="Spistreci1"/>
        <w:rPr>
          <w:rFonts w:ascii="Calibri" w:hAnsi="Calibri"/>
          <w:b w:val="0"/>
          <w:kern w:val="2"/>
          <w:sz w:val="22"/>
          <w:szCs w:val="22"/>
          <w:lang w:val="en-IE" w:eastAsia="en-IE"/>
        </w:rPr>
      </w:pPr>
      <w:hyperlink r:id="rId46" w:anchor="_Toc150777403" w:history="1">
        <w:r>
          <w:rPr>
            <w:rStyle w:val="Hipercze"/>
          </w:rPr>
          <w:t>Appendix 1</w:t>
        </w:r>
        <w:r>
          <w:rPr>
            <w:rStyle w:val="Hipercze"/>
            <w:rFonts w:ascii="Calibri" w:hAnsi="Calibri"/>
            <w:b w:val="0"/>
            <w:kern w:val="2"/>
            <w:sz w:val="22"/>
            <w:szCs w:val="22"/>
            <w:lang w:val="en-IE" w:eastAsia="en-IE"/>
          </w:rPr>
          <w:tab/>
        </w:r>
        <w:r>
          <w:rPr>
            <w:rStyle w:val="Hipercze"/>
          </w:rPr>
          <w:t>Lists of data considered in support of the evaluation</w:t>
        </w:r>
        <w:r>
          <w:rPr>
            <w:rStyle w:val="Hipercze"/>
            <w:webHidden/>
          </w:rPr>
          <w:tab/>
        </w:r>
        <w:r>
          <w:rPr>
            <w:rStyle w:val="Hipercze"/>
            <w:webHidden/>
          </w:rPr>
          <w:fldChar w:fldCharType="begin"/>
        </w:r>
        <w:r>
          <w:rPr>
            <w:rStyle w:val="Hipercze"/>
            <w:webHidden/>
          </w:rPr>
          <w:instrText xml:space="preserve"> PAGEREF _Toc150777403 \h </w:instrText>
        </w:r>
        <w:r>
          <w:rPr>
            <w:rStyle w:val="Hipercze"/>
            <w:webHidden/>
          </w:rPr>
        </w:r>
        <w:r>
          <w:rPr>
            <w:rStyle w:val="Hipercze"/>
            <w:webHidden/>
          </w:rPr>
          <w:fldChar w:fldCharType="separate"/>
        </w:r>
        <w:r>
          <w:rPr>
            <w:rStyle w:val="Hipercze"/>
            <w:webHidden/>
          </w:rPr>
          <w:t>20</w:t>
        </w:r>
        <w:r>
          <w:rPr>
            <w:rStyle w:val="Hipercze"/>
            <w:webHidden/>
          </w:rPr>
          <w:fldChar w:fldCharType="end"/>
        </w:r>
      </w:hyperlink>
    </w:p>
    <w:p w:rsidR="00857370" w:rsidRDefault="00857370" w:rsidP="00857370">
      <w:pPr>
        <w:pStyle w:val="Spistreci1"/>
        <w:rPr>
          <w:rFonts w:ascii="Calibri" w:hAnsi="Calibri"/>
          <w:b w:val="0"/>
          <w:kern w:val="2"/>
          <w:sz w:val="22"/>
          <w:szCs w:val="22"/>
          <w:lang w:val="en-IE" w:eastAsia="en-IE"/>
        </w:rPr>
      </w:pPr>
      <w:hyperlink r:id="rId47" w:anchor="_Toc150777404" w:history="1">
        <w:r>
          <w:rPr>
            <w:rStyle w:val="Hipercze"/>
          </w:rPr>
          <w:t>Appendix 2</w:t>
        </w:r>
        <w:r>
          <w:rPr>
            <w:rStyle w:val="Hipercze"/>
            <w:rFonts w:ascii="Calibri" w:hAnsi="Calibri"/>
            <w:b w:val="0"/>
            <w:kern w:val="2"/>
            <w:sz w:val="22"/>
            <w:szCs w:val="22"/>
            <w:lang w:val="en-IE" w:eastAsia="en-IE"/>
          </w:rPr>
          <w:tab/>
        </w:r>
        <w:r>
          <w:rPr>
            <w:rStyle w:val="Hipercze"/>
          </w:rPr>
          <w:t>Additional information</w:t>
        </w:r>
        <w:r>
          <w:rPr>
            <w:rStyle w:val="Hipercze"/>
            <w:webHidden/>
          </w:rPr>
          <w:tab/>
        </w:r>
        <w:r>
          <w:rPr>
            <w:rStyle w:val="Hipercze"/>
            <w:webHidden/>
          </w:rPr>
          <w:fldChar w:fldCharType="begin"/>
        </w:r>
        <w:r>
          <w:rPr>
            <w:rStyle w:val="Hipercze"/>
            <w:webHidden/>
          </w:rPr>
          <w:instrText xml:space="preserve"> PAGEREF _Toc150777404 \h </w:instrText>
        </w:r>
        <w:r>
          <w:rPr>
            <w:rStyle w:val="Hipercze"/>
            <w:webHidden/>
          </w:rPr>
        </w:r>
        <w:r>
          <w:rPr>
            <w:rStyle w:val="Hipercze"/>
            <w:webHidden/>
          </w:rPr>
          <w:fldChar w:fldCharType="separate"/>
        </w:r>
        <w:r>
          <w:rPr>
            <w:rStyle w:val="Hipercze"/>
            <w:webHidden/>
          </w:rPr>
          <w:t>22</w:t>
        </w:r>
        <w:r>
          <w:rPr>
            <w:rStyle w:val="Hipercze"/>
            <w:webHidden/>
          </w:rPr>
          <w:fldChar w:fldCharType="end"/>
        </w:r>
      </w:hyperlink>
    </w:p>
    <w:p w:rsidR="00857370" w:rsidRDefault="00857370" w:rsidP="00857370">
      <w:pPr>
        <w:pStyle w:val="RepStandard"/>
        <w:rPr>
          <w:lang w:eastAsia="de-DE"/>
        </w:rPr>
      </w:pPr>
      <w:r>
        <w:lastRenderedPageBreak/>
        <w:fldChar w:fldCharType="end"/>
      </w:r>
    </w:p>
    <w:p w:rsidR="00857370" w:rsidRDefault="00857370" w:rsidP="00857370">
      <w:pPr>
        <w:pStyle w:val="Nagwek1"/>
        <w:numPr>
          <w:ilvl w:val="0"/>
          <w:numId w:val="32"/>
        </w:numPr>
      </w:pPr>
      <w:bookmarkStart w:id="0" w:name="_Toc208799233"/>
      <w:bookmarkStart w:id="1" w:name="_Toc233107964"/>
      <w:bookmarkStart w:id="2" w:name="_Toc236451823"/>
      <w:bookmarkStart w:id="3" w:name="_Toc240627023"/>
      <w:bookmarkStart w:id="4" w:name="_Toc413754712"/>
      <w:bookmarkStart w:id="5" w:name="_Toc413755112"/>
      <w:bookmarkStart w:id="6" w:name="_Toc413755138"/>
      <w:bookmarkStart w:id="7" w:name="_Toc413755163"/>
      <w:bookmarkStart w:id="8" w:name="_Toc413941039"/>
      <w:bookmarkStart w:id="9" w:name="_Toc413943189"/>
      <w:bookmarkStart w:id="10" w:name="_Toc414542738"/>
      <w:bookmarkStart w:id="11" w:name="_Toc414544988"/>
      <w:bookmarkStart w:id="12" w:name="_Toc414545015"/>
      <w:bookmarkStart w:id="13" w:name="_Toc414608123"/>
      <w:bookmarkStart w:id="14" w:name="_Toc415230177"/>
      <w:bookmarkStart w:id="15" w:name="_Toc150777366"/>
      <w:bookmarkStart w:id="16" w:name="_Toc412025983"/>
      <w:r>
        <w:t>Relevance of metabolites in groundwater</w:t>
      </w:r>
      <w:bookmarkEnd w:id="4"/>
      <w:bookmarkEnd w:id="5"/>
      <w:bookmarkEnd w:id="6"/>
      <w:bookmarkEnd w:id="7"/>
      <w:bookmarkEnd w:id="8"/>
      <w:bookmarkEnd w:id="9"/>
      <w:bookmarkEnd w:id="10"/>
      <w:bookmarkEnd w:id="11"/>
      <w:bookmarkEnd w:id="12"/>
      <w:bookmarkEnd w:id="13"/>
      <w:bookmarkEnd w:id="14"/>
      <w:bookmarkEnd w:id="15"/>
    </w:p>
    <w:p w:rsidR="00857370" w:rsidRDefault="00857370" w:rsidP="00857370">
      <w:pPr>
        <w:pStyle w:val="RepStandard"/>
        <w:rPr>
          <w:b/>
          <w:bCs/>
        </w:rPr>
      </w:pPr>
      <w:r>
        <w:rPr>
          <w:b/>
          <w:bCs/>
        </w:rPr>
        <w:t>Introduction</w:t>
      </w:r>
    </w:p>
    <w:p w:rsidR="00857370" w:rsidRDefault="00857370" w:rsidP="00857370">
      <w:pPr>
        <w:pStyle w:val="RepStandard"/>
        <w:spacing w:before="240"/>
      </w:pPr>
      <w:r>
        <w:t>This application is being submitted to support the registration of Meso-</w:t>
      </w:r>
      <w:proofErr w:type="spellStart"/>
      <w:r>
        <w:t>Iodo</w:t>
      </w:r>
      <w:proofErr w:type="spellEnd"/>
      <w:r>
        <w:t xml:space="preserve"> OD-Life, an oil dispersion (OD) formulation containing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 xml:space="preserve">-diethyl in Poland under Regulation (EC) 1107/2009. As the applicant also intends to register the product in Germany, they have been listed as a ‘concerned’ Member State (cMS). This evaluation is required subsequent to the inclusion of </w:t>
      </w:r>
      <w:proofErr w:type="spellStart"/>
      <w:r>
        <w:t>mesosulfuron</w:t>
      </w:r>
      <w:proofErr w:type="spellEnd"/>
      <w:r>
        <w:t>-methyl on Annex I of Directive 91/414/EEC under Commission Directive 2003/119/EC on 1</w:t>
      </w:r>
      <w:r>
        <w:rPr>
          <w:vertAlign w:val="superscript"/>
        </w:rPr>
        <w:t>st</w:t>
      </w:r>
      <w:r>
        <w:t xml:space="preserve"> April 2004. </w:t>
      </w:r>
      <w:proofErr w:type="spellStart"/>
      <w:r>
        <w:t>Mesosulfuron</w:t>
      </w:r>
      <w:proofErr w:type="spellEnd"/>
      <w:r>
        <w:t>-methyl was renewed under Implementing Regulation (EU) 2017/755 on 1</w:t>
      </w:r>
      <w:r>
        <w:rPr>
          <w:vertAlign w:val="superscript"/>
        </w:rPr>
        <w:t>st</w:t>
      </w:r>
      <w:r>
        <w:t xml:space="preserve"> July 2017. </w:t>
      </w:r>
      <w:proofErr w:type="spellStart"/>
      <w:r>
        <w:t>Iodosulfuron</w:t>
      </w:r>
      <w:proofErr w:type="spellEnd"/>
      <w:r>
        <w:t>-methyl-sodium was included on Annex I of Directive 91/414/EEC under Commission Directive 2003/84/EC on 1</w:t>
      </w:r>
      <w:r>
        <w:rPr>
          <w:vertAlign w:val="superscript"/>
        </w:rPr>
        <w:t>st</w:t>
      </w:r>
      <w:r>
        <w:t xml:space="preserve"> January 2004. </w:t>
      </w:r>
      <w:proofErr w:type="spellStart"/>
      <w:r>
        <w:t>Iodosulfuron</w:t>
      </w:r>
      <w:proofErr w:type="spellEnd"/>
      <w:r>
        <w:t>-methyl-sodium was renewed under Implementing Regulation (EU) 2017/407 on 1</w:t>
      </w:r>
      <w:r>
        <w:rPr>
          <w:vertAlign w:val="superscript"/>
        </w:rPr>
        <w:t>st</w:t>
      </w:r>
      <w:r>
        <w:t xml:space="preserve"> April 2017. Meso-</w:t>
      </w:r>
      <w:proofErr w:type="spellStart"/>
      <w:r>
        <w:t>Iodo</w:t>
      </w:r>
      <w:proofErr w:type="spellEnd"/>
      <w:r>
        <w:t xml:space="preserve"> OD-Life will be referred to as product 054-01-05 for the remainder of this document.</w:t>
      </w:r>
    </w:p>
    <w:p w:rsidR="00857370" w:rsidRDefault="00857370" w:rsidP="00857370">
      <w:pPr>
        <w:pStyle w:val="RepStandard"/>
        <w:spacing w:before="240"/>
      </w:pPr>
      <w:r>
        <w:t>Product 054-01-05 is a professional use herbicide formulated as an oil dispersion</w:t>
      </w:r>
      <w:bookmarkStart w:id="17" w:name="_Hlk121409199"/>
      <w:r>
        <w:t xml:space="preserve"> containing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-diethyl</w:t>
      </w:r>
      <w:bookmarkEnd w:id="17"/>
      <w:r>
        <w:t>. The product has not previously been evaluated in Poland according to Uniform Principles.</w:t>
      </w:r>
    </w:p>
    <w:p w:rsidR="00857370" w:rsidRDefault="00857370" w:rsidP="00857370">
      <w:pPr>
        <w:pStyle w:val="RepStandard"/>
        <w:spacing w:before="240"/>
      </w:pPr>
      <w:r>
        <w:t xml:space="preserve">The sources of </w:t>
      </w:r>
      <w:proofErr w:type="spellStart"/>
      <w:r>
        <w:t>mesosulfuron</w:t>
      </w:r>
      <w:proofErr w:type="spellEnd"/>
      <w:r>
        <w:t xml:space="preserve">-methyl (source 1 (20151195 PWSG), source 2 (20190977 PWSG)) and </w:t>
      </w:r>
      <w:proofErr w:type="spellStart"/>
      <w:r>
        <w:t>iodosulfuron</w:t>
      </w:r>
      <w:proofErr w:type="spellEnd"/>
      <w:r>
        <w:t xml:space="preserve">-methyl-sodium (20150953 PWSG) have previously been assessed by the CTGB in the Netherlands and deemed technically equivalent to the Annex I reference source. The source of </w:t>
      </w:r>
      <w:proofErr w:type="spellStart"/>
      <w:r>
        <w:t>iodosulfuron</w:t>
      </w:r>
      <w:proofErr w:type="spellEnd"/>
      <w:r>
        <w:t>-methyl-sodium was later assessed by the Central Institute for Supervising and Testing in Agriculture (UKZUZ 038555/2022) in the Czech Republic following Annex I renewal, where it was concluded that the source still met the specification listed in the renewal regulation. The results of each of these assessments were sent to Member States for commenting. Details of the evaluations are available on CIRCA BC.</w:t>
      </w:r>
    </w:p>
    <w:p w:rsidR="00857370" w:rsidRDefault="00857370" w:rsidP="00857370">
      <w:pPr>
        <w:pStyle w:val="RepStandard"/>
        <w:spacing w:before="240"/>
      </w:pPr>
      <w:r>
        <w:t xml:space="preserve">As part of this application, Life Scientific Ltd. wishes to have the proposed formulation assessed for comparability to the Polish reference product Atlantis 12 OD (10 g/L </w:t>
      </w:r>
      <w:proofErr w:type="spellStart"/>
      <w:r>
        <w:t>mesosulfuron</w:t>
      </w:r>
      <w:proofErr w:type="spellEnd"/>
      <w:r>
        <w:t xml:space="preserve">-methyl, 2 g/L </w:t>
      </w:r>
      <w:proofErr w:type="spellStart"/>
      <w:r>
        <w:t>iodosulfuron</w:t>
      </w:r>
      <w:proofErr w:type="spellEnd"/>
      <w:r>
        <w:t xml:space="preserve">-methyl-sodium and 30 g/L </w:t>
      </w:r>
      <w:proofErr w:type="spellStart"/>
      <w:r>
        <w:t>mefenpyr</w:t>
      </w:r>
      <w:proofErr w:type="spellEnd"/>
      <w:r>
        <w:t>-diethyl, OD, authorisation number R-98/2009) of Bayer AG. The applicant considers product 054-01-05 to be comparable, if not identical to Atlantis 12 OD: details provided in Table 1.2-1 in the confidential dossier of this submission (Draft Registration Report – Part C). The uses and claims for which approval is being sought are the same as those already approved for Atlantis 12 OD in Poland.</w:t>
      </w:r>
    </w:p>
    <w:p w:rsidR="00857370" w:rsidRDefault="00857370" w:rsidP="00857370">
      <w:pPr>
        <w:pStyle w:val="RepStandard"/>
        <w:spacing w:before="240"/>
      </w:pPr>
      <w:r>
        <w:t>Atlantis 12 OD (authorisation number R-98/2009) was first authorised on 14</w:t>
      </w:r>
      <w:r>
        <w:rPr>
          <w:vertAlign w:val="superscript"/>
        </w:rPr>
        <w:t>th</w:t>
      </w:r>
      <w:r>
        <w:t xml:space="preserve"> August 2009 and re-registered on 24</w:t>
      </w:r>
      <w:r>
        <w:rPr>
          <w:vertAlign w:val="superscript"/>
        </w:rPr>
        <w:t>th</w:t>
      </w:r>
      <w:r>
        <w:t xml:space="preserve"> August 2020. Given the 30-month data protection period for Atlantis 12 OD and the associated active substances, namely </w:t>
      </w:r>
      <w:proofErr w:type="spellStart"/>
      <w:r>
        <w:t>mesosulfuron</w:t>
      </w:r>
      <w:proofErr w:type="spellEnd"/>
      <w:r>
        <w:t xml:space="preserve">-methyl and </w:t>
      </w:r>
      <w:proofErr w:type="spellStart"/>
      <w:r>
        <w:t>iodosulfuron</w:t>
      </w:r>
      <w:proofErr w:type="spellEnd"/>
      <w:r>
        <w:t>-methyl-sodium, expired in February 2023, a new application is being submitted to apply for the authorisation of product 054-01-05 in Poland, whereby the applicant submits that it is scientifically valid to extrapolate data and information submitted by Bayer AG on Atlantis 12 OD and use it to evaluate product 054-01-05. This includes the data supporting uses that were applied for after the introduction of Regulation 1107 on 14</w:t>
      </w:r>
      <w:r>
        <w:rPr>
          <w:vertAlign w:val="superscript"/>
        </w:rPr>
        <w:t>th</w:t>
      </w:r>
      <w:r>
        <w:t xml:space="preserve"> of June 2011. According to Paragraph 22 of Commission Notice - Technical Guidelines on Data Protection according to Regulation (EC) No. 1107/2009, 2019/C 229/01, new use data attracts 10 years protection from the date of first authorisation of that product in each Member State (not the date of authorisation of the new crop). Therefore, under Regulation 1107, new use data attracts zero data protection when the original 10-year data protection of the product has expired.</w:t>
      </w:r>
    </w:p>
    <w:p w:rsidR="00857370" w:rsidRDefault="00857370" w:rsidP="00857370">
      <w:pPr>
        <w:pStyle w:val="RepStandard"/>
      </w:pPr>
    </w:p>
    <w:p w:rsidR="00857370" w:rsidRDefault="00857370" w:rsidP="00857370">
      <w:pPr>
        <w:pStyle w:val="RepStandard"/>
      </w:pPr>
    </w:p>
    <w:p w:rsidR="00857370" w:rsidRDefault="00857370" w:rsidP="00857370">
      <w:pPr>
        <w:pStyle w:val="RepStandard"/>
      </w:pPr>
      <w:bookmarkStart w:id="18" w:name="_GoBack"/>
      <w:bookmarkEnd w:id="18"/>
    </w:p>
    <w:p w:rsidR="00857370" w:rsidRPr="00857370" w:rsidRDefault="00857370" w:rsidP="00857370">
      <w:pPr>
        <w:pStyle w:val="Nagwek2"/>
        <w:numPr>
          <w:ilvl w:val="1"/>
          <w:numId w:val="32"/>
        </w:numPr>
        <w:spacing w:before="0"/>
      </w:pPr>
      <w:bookmarkStart w:id="19" w:name="_Toc413755113"/>
      <w:bookmarkStart w:id="20" w:name="_Toc413755139"/>
      <w:bookmarkStart w:id="21" w:name="_Toc413755164"/>
      <w:bookmarkStart w:id="22" w:name="_Toc413941040"/>
      <w:bookmarkStart w:id="23" w:name="_Toc413943190"/>
      <w:bookmarkStart w:id="24" w:name="_Toc414542739"/>
      <w:bookmarkStart w:id="25" w:name="_Toc414544989"/>
      <w:bookmarkStart w:id="26" w:name="_Toc414545016"/>
      <w:bookmarkStart w:id="27" w:name="_Toc414608124"/>
      <w:bookmarkStart w:id="28" w:name="_Toc415230178"/>
      <w:bookmarkStart w:id="29" w:name="_Toc150777367"/>
      <w:bookmarkStart w:id="30" w:name="_Hlk150329890"/>
      <w:r w:rsidRPr="00857370">
        <w:t>General information</w:t>
      </w:r>
      <w:bookmarkEnd w:id="19"/>
      <w:bookmarkEnd w:id="20"/>
      <w:bookmarkEnd w:id="21"/>
      <w:bookmarkEnd w:id="22"/>
      <w:bookmarkEnd w:id="23"/>
      <w:bookmarkEnd w:id="24"/>
      <w:bookmarkEnd w:id="25"/>
      <w:bookmarkEnd w:id="26"/>
      <w:bookmarkEnd w:id="27"/>
      <w:bookmarkEnd w:id="28"/>
      <w:bookmarkEnd w:id="29"/>
    </w:p>
    <w:p w:rsidR="00857370" w:rsidRPr="00857370" w:rsidRDefault="00857370" w:rsidP="00857370">
      <w:pPr>
        <w:rPr>
          <w:strike/>
          <w:lang w:val="en-GB" w:eastAsia="x-none"/>
        </w:rPr>
      </w:pPr>
      <w:r w:rsidRPr="00857370">
        <w:rPr>
          <w:strike/>
          <w:lang w:val="en-GB" w:eastAsia="x-none"/>
        </w:rPr>
        <w:t>For all information relating to metabolite relevance, please refer to the Part B10 of the Atlantis 12 OD re-registration report submitted by Bayer AG.</w:t>
      </w:r>
    </w:p>
    <w:p w:rsidR="00857370" w:rsidRDefault="00857370" w:rsidP="00857370">
      <w:pPr>
        <w:pStyle w:val="RepStandard"/>
        <w:rPr>
          <w:highlight w:val="cyan"/>
          <w:lang w:eastAsia="x-none"/>
        </w:rPr>
      </w:pPr>
    </w:p>
    <w:p w:rsidR="00857370" w:rsidRPr="00857370" w:rsidRDefault="00857370" w:rsidP="00857370">
      <w:pPr>
        <w:pStyle w:val="RepStandard"/>
        <w:rPr>
          <w:highlight w:val="cyan"/>
          <w:lang w:eastAsia="x-none"/>
        </w:rPr>
      </w:pPr>
    </w:p>
    <w:bookmarkEnd w:id="16"/>
    <w:bookmarkEnd w:id="30"/>
    <w:p w:rsidR="00857370" w:rsidRPr="00857370" w:rsidRDefault="00857370" w:rsidP="00857370">
      <w:pPr>
        <w:keepNext/>
        <w:keepLines/>
        <w:spacing w:line="256" w:lineRule="auto"/>
        <w:ind w:left="-5"/>
        <w:outlineLvl w:val="3"/>
        <w:rPr>
          <w:b/>
          <w:color w:val="000000"/>
          <w:kern w:val="2"/>
          <w:sz w:val="24"/>
          <w:highlight w:val="cyan"/>
          <w:lang w:val="en-IE" w:eastAsia="en-IE"/>
        </w:rPr>
      </w:pPr>
      <w:proofErr w:type="spellStart"/>
      <w:r w:rsidRPr="00857370">
        <w:rPr>
          <w:b/>
          <w:color w:val="000000"/>
          <w:kern w:val="2"/>
          <w:highlight w:val="cyan"/>
          <w:lang w:val="en-IE" w:eastAsia="en-IE"/>
        </w:rPr>
        <w:t>Iodosulfuron</w:t>
      </w:r>
      <w:proofErr w:type="spellEnd"/>
      <w:r w:rsidRPr="00857370">
        <w:rPr>
          <w:b/>
          <w:color w:val="000000"/>
          <w:kern w:val="2"/>
          <w:highlight w:val="cyan"/>
          <w:lang w:val="en-IE" w:eastAsia="en-IE"/>
        </w:rPr>
        <w:t xml:space="preserve">-methyl-sodium </w:t>
      </w:r>
    </w:p>
    <w:p w:rsidR="00857370" w:rsidRPr="00857370" w:rsidRDefault="00857370" w:rsidP="00857370">
      <w:pPr>
        <w:spacing w:line="256" w:lineRule="auto"/>
        <w:rPr>
          <w:rFonts w:ascii="Calibri" w:eastAsia="Calibri" w:hAnsi="Calibri" w:cs="Calibri"/>
          <w:color w:val="000000"/>
          <w:kern w:val="2"/>
          <w:highlight w:val="cyan"/>
          <w:lang w:val="en-IE" w:eastAsia="en-IE"/>
        </w:rPr>
      </w:pPr>
      <w:r w:rsidRPr="00857370">
        <w:rPr>
          <w:b/>
          <w:color w:val="000000"/>
          <w:kern w:val="2"/>
          <w:highlight w:val="cyan"/>
          <w:lang w:val="en-IE" w:eastAsia="en-IE"/>
        </w:rPr>
        <w:t xml:space="preserve"> </w:t>
      </w:r>
    </w:p>
    <w:p w:rsidR="00857370" w:rsidRPr="00857370" w:rsidRDefault="00857370" w:rsidP="00857370">
      <w:pPr>
        <w:spacing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None of the soil metabolites of </w:t>
      </w:r>
      <w:proofErr w:type="spellStart"/>
      <w:r w:rsidRPr="00857370">
        <w:rPr>
          <w:color w:val="000000"/>
          <w:kern w:val="2"/>
          <w:highlight w:val="cyan"/>
          <w:lang w:val="en-IE" w:eastAsia="en-IE"/>
        </w:rPr>
        <w:t>iodosulfuron</w:t>
      </w:r>
      <w:proofErr w:type="spellEnd"/>
      <w:r w:rsidRPr="00857370">
        <w:rPr>
          <w:color w:val="000000"/>
          <w:kern w:val="2"/>
          <w:highlight w:val="cyan"/>
          <w:lang w:val="en-IE" w:eastAsia="en-IE"/>
        </w:rPr>
        <w:t xml:space="preserve">-methyl-sodium is predicted to occur in groundwater recharge at concentrations above 0.1 µg/L for the intended uses of the product (see dRR part B.8, Point 8.8). An assessment of the relevance of metabolites according to the stepwise procedure of the EC guidance document SANCO/221/2000 –rev.11 is therefore not required for this active substance.  </w:t>
      </w:r>
    </w:p>
    <w:p w:rsidR="00857370" w:rsidRPr="00857370" w:rsidRDefault="00857370" w:rsidP="00857370">
      <w:pPr>
        <w:spacing w:before="240"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General information on the metabolites of </w:t>
      </w:r>
      <w:proofErr w:type="spellStart"/>
      <w:r w:rsidRPr="00857370">
        <w:rPr>
          <w:color w:val="000000"/>
          <w:kern w:val="2"/>
          <w:highlight w:val="cyan"/>
          <w:lang w:val="en-IE" w:eastAsia="en-IE"/>
        </w:rPr>
        <w:t>iodosulfuron</w:t>
      </w:r>
      <w:proofErr w:type="spellEnd"/>
      <w:r w:rsidRPr="00857370">
        <w:rPr>
          <w:color w:val="000000"/>
          <w:kern w:val="2"/>
          <w:highlight w:val="cyan"/>
          <w:lang w:val="en-IE" w:eastAsia="en-IE"/>
        </w:rPr>
        <w:t xml:space="preserve">-methyl-sodium including overall maximum </w:t>
      </w:r>
      <w:proofErr w:type="spellStart"/>
      <w:r w:rsidRPr="00857370">
        <w:rPr>
          <w:color w:val="000000"/>
          <w:kern w:val="2"/>
          <w:highlight w:val="cyan"/>
          <w:lang w:val="en-IE" w:eastAsia="en-IE"/>
        </w:rPr>
        <w:t>PECgw</w:t>
      </w:r>
      <w:proofErr w:type="spellEnd"/>
      <w:r w:rsidRPr="00857370">
        <w:rPr>
          <w:color w:val="000000"/>
          <w:kern w:val="2"/>
          <w:highlight w:val="cyan"/>
          <w:lang w:val="en-IE" w:eastAsia="en-IE"/>
        </w:rPr>
        <w:t xml:space="preserve"> values for the critical GAPs is provided in Table 10.1-1.  </w:t>
      </w:r>
    </w:p>
    <w:p w:rsidR="00857370" w:rsidRPr="00857370" w:rsidRDefault="00857370" w:rsidP="00857370">
      <w:pPr>
        <w:pStyle w:val="RepLabel"/>
        <w:suppressAutoHyphens/>
        <w:rPr>
          <w:highlight w:val="cyan"/>
        </w:rPr>
      </w:pPr>
      <w:r w:rsidRPr="00857370">
        <w:rPr>
          <w:highlight w:val="cyan"/>
        </w:rPr>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10.1</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1</w:t>
      </w:r>
      <w:r w:rsidRPr="00857370">
        <w:rPr>
          <w:highlight w:val="cyan"/>
        </w:rPr>
        <w:fldChar w:fldCharType="end"/>
      </w:r>
      <w:r w:rsidRPr="00857370">
        <w:rPr>
          <w:highlight w:val="cyan"/>
        </w:rPr>
        <w:t>:</w:t>
      </w:r>
      <w:r w:rsidRPr="00857370">
        <w:rPr>
          <w:highlight w:val="cyan"/>
        </w:rPr>
        <w:tab/>
        <w:t xml:space="preserve">General information on the metabolite of </w:t>
      </w:r>
      <w:proofErr w:type="spellStart"/>
      <w:r w:rsidRPr="00857370">
        <w:rPr>
          <w:highlight w:val="cyan"/>
        </w:rPr>
        <w:t>Iodosulfuron</w:t>
      </w:r>
      <w:proofErr w:type="spellEnd"/>
      <w:r w:rsidRPr="00857370">
        <w:rPr>
          <w:highlight w:val="cyan"/>
        </w:rPr>
        <w:t>-methyl-sodium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1"/>
        <w:gridCol w:w="1682"/>
        <w:gridCol w:w="4014"/>
        <w:gridCol w:w="1321"/>
        <w:gridCol w:w="1070"/>
      </w:tblGrid>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jc w:val="center"/>
              <w:rPr>
                <w:b/>
                <w:bCs/>
                <w:szCs w:val="20"/>
                <w:highlight w:val="cyan"/>
              </w:rPr>
            </w:pPr>
            <w:r w:rsidRPr="00857370">
              <w:rPr>
                <w:b/>
                <w:bCs/>
                <w:szCs w:val="20"/>
                <w:highlight w:val="cyan"/>
              </w:rPr>
              <w:t>Name of active substance</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b/>
                <w:bCs/>
                <w:sz w:val="20"/>
                <w:szCs w:val="20"/>
                <w:highlight w:val="cyan"/>
              </w:rPr>
            </w:pPr>
            <w:r w:rsidRPr="00857370">
              <w:rPr>
                <w:b/>
                <w:bCs/>
                <w:sz w:val="20"/>
                <w:szCs w:val="20"/>
                <w:highlight w:val="cyan"/>
                <w:lang w:val="en-GB"/>
              </w:rPr>
              <w:t>Metabolite name and code</w:t>
            </w:r>
          </w:p>
        </w:tc>
        <w:tc>
          <w:tcPr>
            <w:tcW w:w="2119"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jc w:val="center"/>
              <w:rPr>
                <w:b/>
                <w:bCs/>
                <w:szCs w:val="20"/>
                <w:highlight w:val="cyan"/>
              </w:rPr>
            </w:pPr>
            <w:r w:rsidRPr="00857370">
              <w:rPr>
                <w:b/>
                <w:bCs/>
                <w:szCs w:val="20"/>
                <w:highlight w:val="cyan"/>
              </w:rPr>
              <w:t>Structural/molecular formula</w:t>
            </w:r>
          </w:p>
        </w:tc>
        <w:tc>
          <w:tcPr>
            <w:tcW w:w="714"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jc w:val="center"/>
              <w:rPr>
                <w:b/>
                <w:bCs/>
                <w:szCs w:val="20"/>
                <w:highlight w:val="cyan"/>
              </w:rPr>
            </w:pPr>
            <w:r w:rsidRPr="00857370">
              <w:rPr>
                <w:b/>
                <w:bCs/>
                <w:szCs w:val="20"/>
                <w:highlight w:val="cyan"/>
              </w:rPr>
              <w:t>Trigger for relevance assessment</w:t>
            </w:r>
          </w:p>
        </w:tc>
        <w:tc>
          <w:tcPr>
            <w:tcW w:w="57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spacing w:before="240"/>
              <w:jc w:val="center"/>
              <w:rPr>
                <w:b/>
                <w:bCs/>
                <w:szCs w:val="20"/>
                <w:highlight w:val="cyan"/>
              </w:rPr>
            </w:pPr>
            <w:r w:rsidRPr="00857370">
              <w:rPr>
                <w:b/>
                <w:bCs/>
                <w:szCs w:val="20"/>
                <w:highlight w:val="cyan"/>
              </w:rPr>
              <w:t>Name of active substance</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bookmarkStart w:id="31" w:name="_Hlk150334941"/>
            <w:r w:rsidRPr="00857370">
              <w:rPr>
                <w:highlight w:val="cyan"/>
              </w:rPr>
              <w:t>Iodosulfuron-methyl-sodium</w:t>
            </w:r>
            <w:bookmarkEnd w:id="31"/>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2" w:name="_Hlk135906438"/>
            <w:r w:rsidRPr="00857370">
              <w:rPr>
                <w:sz w:val="20"/>
                <w:szCs w:val="20"/>
                <w:highlight w:val="cyan"/>
              </w:rPr>
              <w:t>AE F075736</w:t>
            </w:r>
            <w:bookmarkEnd w:id="32"/>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39395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93950" cy="12001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0.075 µg/L</w:t>
            </w:r>
          </w:p>
          <w:p w:rsidR="00857370" w:rsidRPr="00857370" w:rsidRDefault="00857370">
            <w:pPr>
              <w:pStyle w:val="RepTable"/>
              <w:spacing w:before="240"/>
              <w:rPr>
                <w:highlight w:val="cyan"/>
              </w:rPr>
            </w:pPr>
            <w:r w:rsidRPr="00857370">
              <w:rPr>
                <w:highlight w:val="cyan"/>
              </w:rPr>
              <w:t>FOCUS PEARL 5.5.5, Hamburg</w:t>
            </w:r>
          </w:p>
          <w:p w:rsidR="00857370" w:rsidRPr="00857370" w:rsidRDefault="00857370">
            <w:pPr>
              <w:pStyle w:val="RepTable"/>
              <w:spacing w:before="240"/>
              <w:rPr>
                <w:highlight w:val="cyan"/>
              </w:rPr>
            </w:pPr>
            <w:r w:rsidRPr="00857370">
              <w:rPr>
                <w:highlight w:val="cyan"/>
                <w:lang w:val="en-US"/>
              </w:rPr>
              <w:t>Winter cereals, End of winter to spring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3" w:name="_Hlk135906464"/>
            <w:r w:rsidRPr="00857370">
              <w:rPr>
                <w:sz w:val="20"/>
                <w:szCs w:val="20"/>
                <w:highlight w:val="cyan"/>
              </w:rPr>
              <w:t>AE F145740</w:t>
            </w:r>
            <w:bookmarkEnd w:id="33"/>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470150" cy="9080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470150" cy="9080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szCs w:val="20"/>
                <w:highlight w:val="cyan"/>
              </w:rPr>
            </w:pPr>
            <w:r w:rsidRPr="00857370">
              <w:rPr>
                <w:szCs w:val="20"/>
                <w:highlight w:val="cyan"/>
              </w:rPr>
              <w:t>0.009 µg/L</w:t>
            </w:r>
          </w:p>
          <w:p w:rsidR="00857370" w:rsidRPr="00857370" w:rsidRDefault="00857370">
            <w:pPr>
              <w:pStyle w:val="RepTable"/>
              <w:suppressAutoHyphens/>
              <w:spacing w:before="240"/>
              <w:rPr>
                <w:szCs w:val="20"/>
                <w:highlight w:val="cyan"/>
              </w:rPr>
            </w:pPr>
            <w:r w:rsidRPr="00857370">
              <w:rPr>
                <w:szCs w:val="20"/>
                <w:highlight w:val="cyan"/>
              </w:rPr>
              <w:t>MACRO Tier 1 simulation (risk envelope calculated: 10 g a.s./ha), Châteaudun</w:t>
            </w:r>
          </w:p>
          <w:p w:rsidR="00857370" w:rsidRPr="00857370" w:rsidRDefault="00857370">
            <w:pPr>
              <w:pStyle w:val="RepTable"/>
              <w:suppressAutoHyphens/>
              <w:spacing w:before="240"/>
              <w:rPr>
                <w:szCs w:val="20"/>
                <w:highlight w:val="cyan"/>
              </w:rPr>
            </w:pPr>
            <w:r w:rsidRPr="00857370">
              <w:rPr>
                <w:szCs w:val="20"/>
                <w:highlight w:val="cyan"/>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lastRenderedPageBreak/>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4" w:name="_Hlk135906482"/>
            <w:r w:rsidRPr="00857370">
              <w:rPr>
                <w:sz w:val="20"/>
                <w:szCs w:val="20"/>
                <w:highlight w:val="cyan"/>
              </w:rPr>
              <w:t>AE F145741</w:t>
            </w:r>
            <w:bookmarkEnd w:id="34"/>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305050" cy="12192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05050" cy="12192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0.021 µg/L</w:t>
            </w:r>
          </w:p>
          <w:p w:rsidR="00857370" w:rsidRPr="00857370" w:rsidRDefault="00857370">
            <w:pPr>
              <w:pStyle w:val="RepTable"/>
              <w:spacing w:before="240"/>
              <w:rPr>
                <w:highlight w:val="cyan"/>
              </w:rPr>
            </w:pPr>
            <w:r w:rsidRPr="00857370">
              <w:rPr>
                <w:highlight w:val="cyan"/>
              </w:rPr>
              <w:t>FOCUS PELMO 6.6.4, Jokioinen</w:t>
            </w:r>
          </w:p>
          <w:p w:rsidR="00857370" w:rsidRPr="00857370" w:rsidRDefault="00857370">
            <w:pPr>
              <w:pStyle w:val="RepTable"/>
              <w:spacing w:before="240"/>
              <w:rPr>
                <w:highlight w:val="cyan"/>
              </w:rPr>
            </w:pPr>
            <w:r w:rsidRPr="00857370">
              <w:rPr>
                <w:highlight w:val="cyan"/>
                <w:lang w:val="en-US"/>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highlight w:val="cyan"/>
              </w:rPr>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35" w:name="_Hlk135906511"/>
            <w:r w:rsidRPr="00857370">
              <w:rPr>
                <w:sz w:val="20"/>
                <w:szCs w:val="20"/>
                <w:highlight w:val="cyan"/>
              </w:rPr>
              <w:t>AE 0000119</w:t>
            </w:r>
            <w:bookmarkEnd w:id="35"/>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pPr>
              <w:pStyle w:val="RepTable"/>
              <w:suppressAutoHyphens/>
              <w:rPr>
                <w:highlight w:val="cyan"/>
              </w:rPr>
            </w:pPr>
            <w:r w:rsidRPr="00857370">
              <w:rPr>
                <w:highlight w:val="cyan"/>
              </w:rPr>
              <w:drawing>
                <wp:inline distT="0" distB="0" distL="0" distR="0">
                  <wp:extent cx="2476500" cy="11049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76500" cy="11049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0.004 µg/L</w:t>
            </w:r>
          </w:p>
          <w:p w:rsidR="00857370" w:rsidRPr="00857370" w:rsidRDefault="00857370">
            <w:pPr>
              <w:pStyle w:val="RepTable"/>
              <w:spacing w:before="240"/>
              <w:rPr>
                <w:highlight w:val="cyan"/>
              </w:rPr>
            </w:pPr>
            <w:r w:rsidRPr="00857370">
              <w:rPr>
                <w:highlight w:val="cyan"/>
              </w:rPr>
              <w:t>FOCUS PEARL 5.5.5 and FOCUS PELMO 6.6.4, Hamburg</w:t>
            </w:r>
          </w:p>
          <w:p w:rsidR="00857370" w:rsidRPr="00857370" w:rsidRDefault="00857370">
            <w:pPr>
              <w:pStyle w:val="RepTable"/>
              <w:spacing w:before="240"/>
              <w:rPr>
                <w:highlight w:val="cyan"/>
              </w:rPr>
            </w:pPr>
            <w:r w:rsidRPr="00857370">
              <w:rPr>
                <w:highlight w:val="cyan"/>
                <w:lang w:val="en-US"/>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6" w:name="_Hlk135906526"/>
            <w:r w:rsidRPr="00857370">
              <w:rPr>
                <w:sz w:val="20"/>
                <w:szCs w:val="20"/>
                <w:highlight w:val="cyan"/>
              </w:rPr>
              <w:t>AE F161778</w:t>
            </w:r>
            <w:bookmarkEnd w:id="36"/>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286000" cy="10033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86000" cy="10033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0.031 µg/L</w:t>
            </w:r>
          </w:p>
          <w:p w:rsidR="00857370" w:rsidRPr="00857370" w:rsidRDefault="00857370">
            <w:pPr>
              <w:pStyle w:val="RepTable"/>
              <w:spacing w:before="240"/>
              <w:rPr>
                <w:highlight w:val="cyan"/>
              </w:rPr>
            </w:pPr>
            <w:r w:rsidRPr="00857370">
              <w:rPr>
                <w:highlight w:val="cyan"/>
              </w:rPr>
              <w:t>FOCUS PEARL 5.5.5, Jokioinen</w:t>
            </w:r>
          </w:p>
          <w:p w:rsidR="00857370" w:rsidRPr="00857370" w:rsidRDefault="00857370">
            <w:pPr>
              <w:pStyle w:val="RepTable"/>
              <w:suppressAutoHyphens/>
              <w:spacing w:before="240"/>
              <w:rPr>
                <w:highlight w:val="cyan"/>
              </w:rPr>
            </w:pPr>
            <w:r w:rsidRPr="00857370">
              <w:rPr>
                <w:highlight w:val="cyan"/>
                <w:lang w:val="en-US"/>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7" w:name="_Hlk135906551"/>
            <w:r w:rsidRPr="00857370">
              <w:rPr>
                <w:sz w:val="20"/>
                <w:szCs w:val="20"/>
                <w:highlight w:val="cyan"/>
              </w:rPr>
              <w:t>BCS-CW81253</w:t>
            </w:r>
            <w:bookmarkEnd w:id="37"/>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184400" cy="10604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84400" cy="10604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0.025 µg/L</w:t>
            </w:r>
          </w:p>
          <w:p w:rsidR="00857370" w:rsidRPr="00857370" w:rsidRDefault="00857370">
            <w:pPr>
              <w:pStyle w:val="RepTable"/>
              <w:spacing w:before="240"/>
              <w:rPr>
                <w:highlight w:val="cyan"/>
              </w:rPr>
            </w:pPr>
            <w:r w:rsidRPr="00857370">
              <w:rPr>
                <w:highlight w:val="cyan"/>
              </w:rPr>
              <w:t>FOCUS PEARL 5.5.5, Hamburg</w:t>
            </w:r>
          </w:p>
          <w:p w:rsidR="00857370" w:rsidRPr="00857370" w:rsidRDefault="00857370">
            <w:pPr>
              <w:pStyle w:val="RepTable"/>
              <w:rPr>
                <w:highlight w:val="cyan"/>
              </w:rPr>
            </w:pPr>
          </w:p>
          <w:p w:rsidR="00857370" w:rsidRPr="00857370" w:rsidRDefault="00857370">
            <w:pPr>
              <w:pStyle w:val="RepTable"/>
              <w:suppressAutoHyphens/>
              <w:rPr>
                <w:highlight w:val="cyan"/>
              </w:rPr>
            </w:pPr>
            <w:r w:rsidRPr="00857370">
              <w:rPr>
                <w:highlight w:val="cyan"/>
                <w:lang w:val="en-US"/>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38" w:name="_Hlk135906569"/>
            <w:r w:rsidRPr="00857370">
              <w:rPr>
                <w:sz w:val="20"/>
                <w:szCs w:val="20"/>
                <w:highlight w:val="cyan"/>
              </w:rPr>
              <w:t>AE F059411/</w:t>
            </w:r>
          </w:p>
          <w:p w:rsidR="00857370" w:rsidRPr="00857370" w:rsidRDefault="00857370">
            <w:pPr>
              <w:suppressAutoHyphens/>
              <w:jc w:val="center"/>
              <w:rPr>
                <w:sz w:val="20"/>
                <w:szCs w:val="20"/>
                <w:highlight w:val="cyan"/>
              </w:rPr>
            </w:pPr>
            <w:r w:rsidRPr="00857370">
              <w:rPr>
                <w:sz w:val="20"/>
                <w:szCs w:val="20"/>
                <w:highlight w:val="cyan"/>
              </w:rPr>
              <w:t>IN-A4098</w:t>
            </w:r>
            <w:bookmarkEnd w:id="38"/>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1403350" cy="8572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03350" cy="8572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0.045 µg/L</w:t>
            </w:r>
          </w:p>
          <w:p w:rsidR="00857370" w:rsidRPr="00857370" w:rsidRDefault="00857370" w:rsidP="00857370">
            <w:pPr>
              <w:pStyle w:val="RepTable"/>
              <w:suppressAutoHyphens/>
              <w:spacing w:before="240"/>
              <w:rPr>
                <w:highlight w:val="cyan"/>
              </w:rPr>
            </w:pPr>
            <w:r w:rsidRPr="00857370">
              <w:rPr>
                <w:highlight w:val="cyan"/>
              </w:rPr>
              <w:t xml:space="preserve">MACRO Tier 1 simulation (risk envelope calculated: 10 g </w:t>
            </w:r>
            <w:r w:rsidRPr="00857370">
              <w:rPr>
                <w:highlight w:val="cyan"/>
              </w:rPr>
              <w:lastRenderedPageBreak/>
              <w:t>a.s./ha),  Châteaudun</w:t>
            </w:r>
          </w:p>
          <w:p w:rsidR="00857370" w:rsidRPr="00857370" w:rsidRDefault="00857370">
            <w:pPr>
              <w:pStyle w:val="RepTable"/>
              <w:suppressAutoHyphens/>
              <w:spacing w:before="240"/>
              <w:rPr>
                <w:highlight w:val="cyan"/>
              </w:rPr>
            </w:pPr>
            <w:r w:rsidRPr="00857370">
              <w:rPr>
                <w:highlight w:val="cyan"/>
                <w:lang w:val="en-US"/>
              </w:rPr>
              <w:t>Winter cereals, End of winter to spring and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lastRenderedPageBreak/>
              <w:t>Iodosulfuron-methyl-sodium</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r w:rsidRPr="00857370">
              <w:rPr>
                <w:sz w:val="20"/>
                <w:szCs w:val="20"/>
                <w:highlight w:val="cyan"/>
              </w:rPr>
              <w:t>AE 0002166</w:t>
            </w:r>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432050" cy="9906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32050" cy="9906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0.058 µg/L</w:t>
            </w:r>
          </w:p>
          <w:p w:rsidR="00857370" w:rsidRPr="00857370" w:rsidRDefault="00857370">
            <w:pPr>
              <w:pStyle w:val="RepTable"/>
              <w:spacing w:before="240"/>
              <w:rPr>
                <w:highlight w:val="cyan"/>
              </w:rPr>
            </w:pPr>
            <w:r w:rsidRPr="00857370">
              <w:rPr>
                <w:highlight w:val="cyan"/>
              </w:rPr>
              <w:t>FOCUS PELMO 6.6.4, Jokioinen</w:t>
            </w:r>
          </w:p>
          <w:p w:rsidR="00857370" w:rsidRPr="00857370" w:rsidRDefault="00857370">
            <w:pPr>
              <w:pStyle w:val="RepTable"/>
              <w:spacing w:before="240"/>
              <w:rPr>
                <w:highlight w:val="cyan"/>
              </w:rPr>
            </w:pPr>
            <w:r w:rsidRPr="00857370">
              <w:rPr>
                <w:highlight w:val="cyan"/>
                <w:lang w:val="en-US"/>
              </w:rPr>
              <w:t>Winter cereals, Autumn application</w:t>
            </w:r>
          </w:p>
        </w:tc>
      </w:tr>
    </w:tbl>
    <w:p w:rsidR="00857370" w:rsidRPr="00857370" w:rsidRDefault="00857370" w:rsidP="00857370">
      <w:pPr>
        <w:pStyle w:val="RepStandard"/>
        <w:suppressAutoHyphens/>
        <w:spacing w:before="240"/>
        <w:rPr>
          <w:b/>
          <w:highlight w:val="cyan"/>
          <w:lang w:val="en-IE" w:eastAsia="de-DE"/>
        </w:rPr>
      </w:pPr>
    </w:p>
    <w:p w:rsidR="00857370" w:rsidRPr="00857370" w:rsidRDefault="00857370" w:rsidP="00857370">
      <w:pPr>
        <w:pStyle w:val="RepStandard"/>
        <w:suppressAutoHyphens/>
        <w:spacing w:before="240"/>
        <w:rPr>
          <w:b/>
          <w:highlight w:val="cyan"/>
          <w:lang w:val="en-IE"/>
        </w:rPr>
      </w:pPr>
      <w:proofErr w:type="spellStart"/>
      <w:r w:rsidRPr="00857370">
        <w:rPr>
          <w:b/>
          <w:highlight w:val="cyan"/>
          <w:lang w:val="en-IE"/>
        </w:rPr>
        <w:t>Mesosulfuron</w:t>
      </w:r>
      <w:proofErr w:type="spellEnd"/>
      <w:r w:rsidRPr="00857370">
        <w:rPr>
          <w:b/>
          <w:highlight w:val="cyan"/>
          <w:lang w:val="en-IE"/>
        </w:rPr>
        <w:t xml:space="preserve">-methyl </w:t>
      </w:r>
    </w:p>
    <w:p w:rsidR="00857370" w:rsidRPr="00857370" w:rsidRDefault="00857370" w:rsidP="00857370">
      <w:pPr>
        <w:pStyle w:val="RepStandard"/>
        <w:suppressAutoHyphens/>
        <w:rPr>
          <w:highlight w:val="cyan"/>
          <w:lang w:val="en-IE"/>
        </w:rPr>
      </w:pPr>
      <w:r w:rsidRPr="00857370">
        <w:rPr>
          <w:highlight w:val="cyan"/>
          <w:lang w:val="en-IE"/>
        </w:rPr>
        <w:t xml:space="preserve"> </w:t>
      </w:r>
    </w:p>
    <w:p w:rsidR="00857370" w:rsidRPr="00857370" w:rsidRDefault="00857370" w:rsidP="00857370">
      <w:pPr>
        <w:pStyle w:val="RepStandard"/>
        <w:suppressAutoHyphens/>
        <w:rPr>
          <w:highlight w:val="cyan"/>
          <w:lang w:val="en-IE"/>
        </w:rPr>
      </w:pPr>
      <w:r w:rsidRPr="00857370">
        <w:rPr>
          <w:highlight w:val="cyan"/>
          <w:lang w:val="en-IE"/>
        </w:rPr>
        <w:t xml:space="preserve">The </w:t>
      </w:r>
      <w:proofErr w:type="spellStart"/>
      <w:r w:rsidRPr="00857370">
        <w:rPr>
          <w:highlight w:val="cyan"/>
          <w:lang w:val="en-IE"/>
        </w:rPr>
        <w:t>mesosulfuron</w:t>
      </w:r>
      <w:proofErr w:type="spellEnd"/>
      <w:r w:rsidRPr="00857370">
        <w:rPr>
          <w:highlight w:val="cyan"/>
          <w:lang w:val="en-IE"/>
        </w:rPr>
        <w:t xml:space="preserve">-methyl metabolites AE F160459, AE F160460, AE F147447, and BCS-CV14885 are predicted to occur in groundwater recharge at concentrations above 0.1 µg/L (see dRR part B.8, Point 8.8). Assessment of the relevance of these metabolites according to the stepwise procedure of the EC guidance document SANCO/221/2000 –rev.11 is therefore required.  </w:t>
      </w:r>
    </w:p>
    <w:p w:rsidR="00857370" w:rsidRPr="00857370" w:rsidRDefault="00857370" w:rsidP="00857370">
      <w:pPr>
        <w:pStyle w:val="RepStandard"/>
        <w:suppressAutoHyphens/>
        <w:spacing w:before="240"/>
        <w:rPr>
          <w:highlight w:val="cyan"/>
          <w:lang w:val="en-IE"/>
        </w:rPr>
      </w:pPr>
      <w:r w:rsidRPr="00857370">
        <w:rPr>
          <w:highlight w:val="cyan"/>
          <w:lang w:val="en-IE"/>
        </w:rPr>
        <w:t xml:space="preserve">General information on the metabolites of </w:t>
      </w:r>
      <w:proofErr w:type="spellStart"/>
      <w:r w:rsidRPr="00857370">
        <w:rPr>
          <w:highlight w:val="cyan"/>
          <w:lang w:val="en-IE"/>
        </w:rPr>
        <w:t>mesosulfuron</w:t>
      </w:r>
      <w:proofErr w:type="spellEnd"/>
      <w:r w:rsidRPr="00857370">
        <w:rPr>
          <w:highlight w:val="cyan"/>
          <w:lang w:val="en-IE"/>
        </w:rPr>
        <w:t xml:space="preserve">-methyl including overall maximum </w:t>
      </w:r>
      <w:proofErr w:type="spellStart"/>
      <w:r w:rsidRPr="00857370">
        <w:rPr>
          <w:highlight w:val="cyan"/>
          <w:lang w:val="en-IE"/>
        </w:rPr>
        <w:t>PECgw</w:t>
      </w:r>
      <w:proofErr w:type="spellEnd"/>
      <w:r w:rsidRPr="00857370">
        <w:rPr>
          <w:highlight w:val="cyan"/>
          <w:lang w:val="en-IE"/>
        </w:rPr>
        <w:t xml:space="preserve"> values for the critical GAPs is provided in Table 10.1-2.  </w:t>
      </w:r>
    </w:p>
    <w:p w:rsidR="00857370" w:rsidRPr="00857370" w:rsidRDefault="00857370" w:rsidP="00857370">
      <w:pPr>
        <w:pStyle w:val="RepLabel"/>
        <w:suppressAutoHyphens/>
        <w:rPr>
          <w:highlight w:val="cyan"/>
        </w:rPr>
      </w:pPr>
      <w:bookmarkStart w:id="39" w:name="_Ref413754898"/>
      <w:bookmarkStart w:id="40" w:name="_Hlk150334834"/>
      <w:r w:rsidRPr="00857370">
        <w:rPr>
          <w:highlight w:val="cyan"/>
        </w:rPr>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10.1</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2</w:t>
      </w:r>
      <w:r w:rsidRPr="00857370">
        <w:rPr>
          <w:highlight w:val="cyan"/>
        </w:rPr>
        <w:fldChar w:fldCharType="end"/>
      </w:r>
      <w:bookmarkEnd w:id="39"/>
      <w:r w:rsidRPr="00857370">
        <w:rPr>
          <w:highlight w:val="cyan"/>
        </w:rPr>
        <w:t>:</w:t>
      </w:r>
      <w:r w:rsidRPr="00857370">
        <w:rPr>
          <w:highlight w:val="cyan"/>
        </w:rPr>
        <w:tab/>
        <w:t xml:space="preserve">General information on the metabolite of </w:t>
      </w:r>
      <w:proofErr w:type="spellStart"/>
      <w:r w:rsidRPr="00857370">
        <w:rPr>
          <w:highlight w:val="cyan"/>
        </w:rPr>
        <w:t>Mesosulfuron</w:t>
      </w:r>
      <w:proofErr w:type="spellEnd"/>
      <w:r w:rsidRPr="00857370">
        <w:rPr>
          <w:highlight w:val="cyan"/>
        </w:rPr>
        <w:t>-methyl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92"/>
        <w:gridCol w:w="1692"/>
        <w:gridCol w:w="3958"/>
        <w:gridCol w:w="1331"/>
        <w:gridCol w:w="1075"/>
      </w:tblGrid>
      <w:tr w:rsidR="00857370" w:rsidRPr="00857370" w:rsidTr="00857370">
        <w:trPr>
          <w:tblHeader/>
        </w:trPr>
        <w:tc>
          <w:tcPr>
            <w:tcW w:w="683" w:type="pct"/>
            <w:tcBorders>
              <w:top w:val="single" w:sz="4" w:space="0" w:color="auto"/>
              <w:left w:val="single" w:sz="4" w:space="0" w:color="auto"/>
              <w:bottom w:val="single" w:sz="4" w:space="0" w:color="auto"/>
              <w:right w:val="single" w:sz="4" w:space="0" w:color="auto"/>
            </w:tcBorders>
            <w:hideMark/>
          </w:tcPr>
          <w:bookmarkEnd w:id="40"/>
          <w:p w:rsidR="00857370" w:rsidRPr="00857370" w:rsidRDefault="00857370">
            <w:pPr>
              <w:pStyle w:val="RepTableHeader"/>
              <w:suppressAutoHyphens/>
              <w:jc w:val="center"/>
              <w:rPr>
                <w:highlight w:val="cyan"/>
                <w:lang w:val="en-GB"/>
              </w:rPr>
            </w:pPr>
            <w:r w:rsidRPr="00857370">
              <w:rPr>
                <w:highlight w:val="cyan"/>
                <w:lang w:val="en-GB"/>
              </w:rPr>
              <w:t>Name of active substance</w:t>
            </w:r>
          </w:p>
        </w:tc>
        <w:tc>
          <w:tcPr>
            <w:tcW w:w="907"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Header"/>
              <w:suppressAutoHyphens/>
              <w:jc w:val="center"/>
              <w:rPr>
                <w:highlight w:val="cyan"/>
                <w:lang w:val="en-GB"/>
              </w:rPr>
            </w:pPr>
            <w:r w:rsidRPr="00857370">
              <w:rPr>
                <w:highlight w:val="cyan"/>
                <w:lang w:val="en-GB"/>
              </w:rPr>
              <w:t xml:space="preserve">Metabolite name and code </w:t>
            </w:r>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Header"/>
              <w:suppressAutoHyphens/>
              <w:jc w:val="center"/>
              <w:rPr>
                <w:highlight w:val="cyan"/>
                <w:lang w:val="en-GB"/>
              </w:rPr>
            </w:pPr>
            <w:r w:rsidRPr="00857370">
              <w:rPr>
                <w:highlight w:val="cyan"/>
                <w:lang w:val="en-GB"/>
              </w:rPr>
              <w:t xml:space="preserve">Structural/molecular formula </w:t>
            </w:r>
          </w:p>
        </w:tc>
        <w:tc>
          <w:tcPr>
            <w:tcW w:w="1291"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Header"/>
              <w:suppressAutoHyphens/>
              <w:jc w:val="center"/>
              <w:rPr>
                <w:highlight w:val="cyan"/>
                <w:lang w:val="en-GB"/>
              </w:rPr>
            </w:pPr>
            <w:r w:rsidRPr="00857370">
              <w:rPr>
                <w:highlight w:val="cyan"/>
                <w:lang w:val="en-GB"/>
              </w:rPr>
              <w:t xml:space="preserve">Trigger for relevance assessment </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bookmarkStart w:id="41" w:name="_Hlk150334953"/>
            <w:r w:rsidRPr="00857370">
              <w:rPr>
                <w:highlight w:val="cyan"/>
              </w:rPr>
              <w:t>Mesosulfuron-methyl</w:t>
            </w:r>
            <w:bookmarkEnd w:id="41"/>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r w:rsidRPr="00857370">
              <w:rPr>
                <w:sz w:val="20"/>
                <w:szCs w:val="20"/>
                <w:highlight w:val="cyan"/>
              </w:rPr>
              <w:t>AE F160459</w:t>
            </w:r>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305050" cy="16700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05050" cy="16700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0.227 µg/L</w:t>
            </w:r>
          </w:p>
          <w:p w:rsidR="00857370" w:rsidRPr="00857370" w:rsidRDefault="00857370">
            <w:pPr>
              <w:pStyle w:val="RepTable"/>
              <w:rPr>
                <w:highlight w:val="cyan"/>
              </w:rPr>
            </w:pPr>
          </w:p>
          <w:p w:rsidR="00857370" w:rsidRPr="00857370" w:rsidRDefault="00857370">
            <w:pPr>
              <w:pStyle w:val="RepTable"/>
              <w:rPr>
                <w:highlight w:val="cyan"/>
              </w:rPr>
            </w:pPr>
            <w:r w:rsidRPr="00857370">
              <w:rPr>
                <w:highlight w:val="cyan"/>
              </w:rPr>
              <w:t>FOCUS PEARL 5.5.5, Jokioinen</w:t>
            </w:r>
          </w:p>
          <w:p w:rsidR="00857370" w:rsidRPr="00857370" w:rsidRDefault="00857370">
            <w:pPr>
              <w:pStyle w:val="RepTable"/>
              <w:suppressAutoHyphens/>
              <w:spacing w:before="240"/>
              <w:rPr>
                <w:highlight w:val="cyan"/>
              </w:rPr>
            </w:pPr>
            <w:r w:rsidRPr="00857370">
              <w:rPr>
                <w:highlight w:val="cyan"/>
                <w:lang w:val="en-US"/>
              </w:rPr>
              <w:t>Winter cereals, End of winter to spring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lastRenderedPageBreak/>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42" w:name="_Hlk135906217"/>
            <w:r w:rsidRPr="00857370">
              <w:rPr>
                <w:sz w:val="20"/>
                <w:szCs w:val="20"/>
                <w:highlight w:val="cyan"/>
              </w:rPr>
              <w:t>AE F092944</w:t>
            </w:r>
            <w:bookmarkEnd w:id="42"/>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1219200" cy="88900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19200" cy="8890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&lt;0.001 µg/L</w:t>
            </w:r>
          </w:p>
          <w:p w:rsidR="00857370" w:rsidRPr="00857370" w:rsidRDefault="00857370">
            <w:pPr>
              <w:pStyle w:val="RepTable"/>
              <w:spacing w:before="240"/>
              <w:rPr>
                <w:highlight w:val="cyan"/>
              </w:rPr>
            </w:pPr>
            <w:r w:rsidRPr="00857370">
              <w:rPr>
                <w:highlight w:val="cyan"/>
              </w:rPr>
              <w:t>All models, all scenarios</w:t>
            </w:r>
          </w:p>
          <w:p w:rsidR="00857370" w:rsidRPr="00857370" w:rsidRDefault="00857370">
            <w:pPr>
              <w:pStyle w:val="RepTable"/>
              <w:rPr>
                <w:highlight w:val="cyan"/>
              </w:rPr>
            </w:pPr>
          </w:p>
          <w:p w:rsidR="00857370" w:rsidRPr="00857370" w:rsidRDefault="00857370">
            <w:pPr>
              <w:pStyle w:val="RepTable"/>
              <w:suppressAutoHyphens/>
              <w:rPr>
                <w:highlight w:val="cyan"/>
              </w:rPr>
            </w:pPr>
            <w:r w:rsidRPr="00857370">
              <w:rPr>
                <w:highlight w:val="cyan"/>
                <w:lang w:val="en-US"/>
              </w:rPr>
              <w:t xml:space="preserve">All uses </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43" w:name="_Hlk135906237"/>
            <w:r w:rsidRPr="00857370">
              <w:rPr>
                <w:sz w:val="20"/>
                <w:szCs w:val="20"/>
                <w:highlight w:val="cyan"/>
              </w:rPr>
              <w:t>AE F099095</w:t>
            </w:r>
            <w:bookmarkEnd w:id="43"/>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1327150" cy="9080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327150" cy="9080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&lt;0.001 µg/L</w:t>
            </w:r>
          </w:p>
          <w:p w:rsidR="00857370" w:rsidRPr="00857370" w:rsidRDefault="00857370">
            <w:pPr>
              <w:pStyle w:val="RepTable"/>
              <w:spacing w:before="240"/>
              <w:rPr>
                <w:highlight w:val="cyan"/>
              </w:rPr>
            </w:pPr>
            <w:r w:rsidRPr="00857370">
              <w:rPr>
                <w:highlight w:val="cyan"/>
              </w:rPr>
              <w:t>All models, all scenarios</w:t>
            </w:r>
          </w:p>
          <w:p w:rsidR="00857370" w:rsidRPr="00857370" w:rsidRDefault="00857370">
            <w:pPr>
              <w:pStyle w:val="RepTable"/>
              <w:rPr>
                <w:highlight w:val="cyan"/>
              </w:rPr>
            </w:pPr>
          </w:p>
          <w:p w:rsidR="00857370" w:rsidRPr="00857370" w:rsidRDefault="00857370">
            <w:pPr>
              <w:pStyle w:val="RepTable"/>
              <w:suppressAutoHyphens/>
              <w:rPr>
                <w:highlight w:val="cyan"/>
              </w:rPr>
            </w:pPr>
            <w:r w:rsidRPr="00857370">
              <w:rPr>
                <w:highlight w:val="cyan"/>
                <w:lang w:val="en-US"/>
              </w:rPr>
              <w:t xml:space="preserve">All uses </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44" w:name="_Hlk135906263"/>
            <w:r w:rsidRPr="00857370">
              <w:rPr>
                <w:sz w:val="20"/>
                <w:szCs w:val="20"/>
                <w:highlight w:val="cyan"/>
              </w:rPr>
              <w:t>AE F154851</w:t>
            </w:r>
            <w:bookmarkEnd w:id="44"/>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2209800" cy="144780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209800" cy="14478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widowControl w:val="0"/>
              <w:suppressAutoHyphens/>
              <w:rPr>
                <w:rFonts w:eastAsia="Calibri"/>
                <w:noProof/>
                <w:sz w:val="20"/>
                <w:szCs w:val="20"/>
                <w:highlight w:val="cyan"/>
                <w:lang w:val="en-GB" w:eastAsia="en-US"/>
              </w:rPr>
            </w:pPr>
            <w:r w:rsidRPr="00857370">
              <w:rPr>
                <w:rFonts w:eastAsia="Calibri"/>
                <w:noProof/>
                <w:sz w:val="20"/>
                <w:szCs w:val="20"/>
                <w:highlight w:val="cyan"/>
                <w:lang w:val="en-GB" w:eastAsia="en-US"/>
              </w:rPr>
              <w:t>0.062 µg/L</w:t>
            </w:r>
          </w:p>
          <w:p w:rsidR="00857370" w:rsidRPr="00857370" w:rsidRDefault="00857370">
            <w:pPr>
              <w:widowControl w:val="0"/>
              <w:suppressAutoHyphens/>
              <w:spacing w:before="240"/>
              <w:rPr>
                <w:rFonts w:eastAsia="Calibri"/>
                <w:noProof/>
                <w:sz w:val="20"/>
                <w:szCs w:val="20"/>
                <w:highlight w:val="cyan"/>
                <w:lang w:val="en-IE" w:eastAsia="en-US"/>
              </w:rPr>
            </w:pPr>
            <w:r w:rsidRPr="00857370">
              <w:rPr>
                <w:rFonts w:eastAsia="Calibri"/>
                <w:noProof/>
                <w:sz w:val="20"/>
                <w:szCs w:val="20"/>
                <w:highlight w:val="cyan"/>
                <w:lang w:val="en-GB" w:eastAsia="en-US"/>
              </w:rPr>
              <w:t xml:space="preserve">FOCUS PEARL 5.5.5, </w:t>
            </w:r>
            <w:r w:rsidRPr="00857370">
              <w:rPr>
                <w:rFonts w:eastAsia="Calibri"/>
                <w:noProof/>
                <w:sz w:val="20"/>
                <w:szCs w:val="20"/>
                <w:highlight w:val="cyan"/>
                <w:lang w:val="en-IE" w:eastAsia="en-US"/>
              </w:rPr>
              <w:t>Hamburg</w:t>
            </w:r>
          </w:p>
          <w:p w:rsidR="00857370" w:rsidRPr="00857370" w:rsidRDefault="00857370">
            <w:pPr>
              <w:widowControl w:val="0"/>
              <w:suppressAutoHyphens/>
              <w:spacing w:before="240"/>
              <w:rPr>
                <w:rFonts w:eastAsia="Calibri"/>
                <w:noProof/>
                <w:sz w:val="20"/>
                <w:szCs w:val="20"/>
                <w:highlight w:val="cyan"/>
                <w:lang w:val="en-GB" w:eastAsia="en-US"/>
              </w:rPr>
            </w:pPr>
            <w:r w:rsidRPr="00857370">
              <w:rPr>
                <w:sz w:val="20"/>
                <w:szCs w:val="20"/>
                <w:highlight w:val="cyan"/>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pStyle w:val="RepTable"/>
              <w:suppressAutoHyphens/>
              <w:rPr>
                <w:highlight w:val="cyan"/>
              </w:rPr>
            </w:pPr>
            <w:r w:rsidRPr="00857370">
              <w:rPr>
                <w:highlight w:val="cyan"/>
              </w:rPr>
              <w:t>Mesosulfuron-methyl</w:t>
            </w:r>
          </w:p>
          <w:p w:rsidR="00857370" w:rsidRPr="00857370" w:rsidRDefault="00857370">
            <w:pPr>
              <w:pStyle w:val="RepTable"/>
              <w:suppressAutoHyphens/>
              <w:rPr>
                <w:highlight w:val="cyan"/>
              </w:rPr>
            </w:pPr>
          </w:p>
        </w:tc>
        <w:tc>
          <w:tcPr>
            <w:tcW w:w="907"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sz w:val="20"/>
                <w:szCs w:val="20"/>
                <w:highlight w:val="cyan"/>
              </w:rPr>
            </w:pPr>
            <w:bookmarkStart w:id="45" w:name="_Hlk135906283"/>
            <w:r w:rsidRPr="00857370">
              <w:rPr>
                <w:sz w:val="20"/>
                <w:szCs w:val="20"/>
                <w:highlight w:val="cyan"/>
              </w:rPr>
              <w:t>AE F160460</w:t>
            </w:r>
            <w:bookmarkEnd w:id="45"/>
          </w:p>
          <w:p w:rsidR="00857370" w:rsidRPr="00857370" w:rsidRDefault="00857370">
            <w:pPr>
              <w:suppressAutoHyphens/>
              <w:jc w:val="center"/>
              <w:rPr>
                <w:sz w:val="20"/>
                <w:szCs w:val="20"/>
                <w:highlight w:val="cyan"/>
              </w:rPr>
            </w:pPr>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pPr>
              <w:pStyle w:val="RepTable"/>
              <w:suppressAutoHyphens/>
              <w:rPr>
                <w:highlight w:val="cyan"/>
              </w:rPr>
            </w:pPr>
            <w:r w:rsidRPr="00857370">
              <w:rPr>
                <w:highlight w:val="cyan"/>
              </w:rPr>
              <w:drawing>
                <wp:inline distT="0" distB="0" distL="0" distR="0">
                  <wp:extent cx="2286000" cy="14795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86000" cy="14795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hideMark/>
          </w:tcPr>
          <w:p w:rsidR="00857370" w:rsidRPr="00857370" w:rsidRDefault="00857370">
            <w:pPr>
              <w:widowControl w:val="0"/>
              <w:suppressAutoHyphens/>
              <w:rPr>
                <w:rFonts w:eastAsia="Calibri"/>
                <w:noProof/>
                <w:sz w:val="20"/>
                <w:szCs w:val="20"/>
                <w:highlight w:val="cyan"/>
                <w:lang w:val="en-GB" w:eastAsia="en-US"/>
              </w:rPr>
            </w:pPr>
            <w:r w:rsidRPr="00857370">
              <w:rPr>
                <w:rFonts w:eastAsia="Calibri"/>
                <w:noProof/>
                <w:sz w:val="20"/>
                <w:szCs w:val="20"/>
                <w:highlight w:val="cyan"/>
                <w:lang w:val="en-GB" w:eastAsia="en-US"/>
              </w:rPr>
              <w:t>0.312 µg/L</w:t>
            </w:r>
          </w:p>
          <w:p w:rsidR="00857370" w:rsidRPr="00857370" w:rsidRDefault="00857370">
            <w:pPr>
              <w:widowControl w:val="0"/>
              <w:suppressAutoHyphens/>
              <w:spacing w:before="240"/>
              <w:rPr>
                <w:rFonts w:eastAsia="Calibri"/>
                <w:noProof/>
                <w:sz w:val="20"/>
                <w:szCs w:val="20"/>
                <w:highlight w:val="cyan"/>
                <w:lang w:val="en-GB" w:eastAsia="en-US"/>
              </w:rPr>
            </w:pPr>
            <w:r w:rsidRPr="00857370">
              <w:rPr>
                <w:rFonts w:eastAsia="Calibri"/>
                <w:noProof/>
                <w:sz w:val="20"/>
                <w:szCs w:val="20"/>
                <w:highlight w:val="cyan"/>
                <w:lang w:val="en-GB" w:eastAsia="en-US"/>
              </w:rPr>
              <w:t>FOCUS PEARL 5.5.5, Hamburg</w:t>
            </w:r>
          </w:p>
          <w:p w:rsidR="00857370" w:rsidRPr="00857370" w:rsidRDefault="00857370">
            <w:pPr>
              <w:widowControl w:val="0"/>
              <w:suppressAutoHyphens/>
              <w:spacing w:before="240"/>
              <w:rPr>
                <w:rFonts w:eastAsia="Calibri"/>
                <w:noProof/>
                <w:sz w:val="20"/>
                <w:szCs w:val="20"/>
                <w:highlight w:val="cyan"/>
                <w:lang w:val="en-GB" w:eastAsia="en-US"/>
              </w:rPr>
            </w:pPr>
            <w:r w:rsidRPr="00857370">
              <w:rPr>
                <w:sz w:val="20"/>
                <w:szCs w:val="20"/>
                <w:highlight w:val="cyan"/>
              </w:rPr>
              <w:t>Winter cereals, End of winter to spring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highlight w:val="cyan"/>
              </w:rPr>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46" w:name="_Hlk135906299"/>
            <w:r w:rsidRPr="00857370">
              <w:rPr>
                <w:sz w:val="20"/>
                <w:szCs w:val="20"/>
                <w:highlight w:val="cyan"/>
              </w:rPr>
              <w:t>BCS-CV14885</w:t>
            </w:r>
            <w:bookmarkEnd w:id="46"/>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pPr>
              <w:pStyle w:val="RepTable"/>
              <w:suppressAutoHyphens/>
              <w:rPr>
                <w:highlight w:val="cyan"/>
              </w:rPr>
            </w:pPr>
            <w:r w:rsidRPr="00857370">
              <w:rPr>
                <w:highlight w:val="cyan"/>
              </w:rPr>
              <w:drawing>
                <wp:inline distT="0" distB="0" distL="0" distR="0">
                  <wp:extent cx="2400300" cy="14414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00300" cy="14414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Lysimeter, spring: 0.269 μg/L</w:t>
            </w:r>
          </w:p>
          <w:p w:rsidR="00857370" w:rsidRPr="00857370" w:rsidRDefault="00857370">
            <w:pPr>
              <w:pStyle w:val="RepTable"/>
              <w:rPr>
                <w:highlight w:val="cyan"/>
              </w:rPr>
            </w:pPr>
            <w:r w:rsidRPr="00857370">
              <w:rPr>
                <w:highlight w:val="cyan"/>
              </w:rPr>
              <w:t>Lysimeter, autumn: 0.481 μg/L</w:t>
            </w:r>
          </w:p>
          <w:p w:rsidR="00857370" w:rsidRPr="00857370" w:rsidRDefault="00857370">
            <w:pPr>
              <w:pStyle w:val="RepTable"/>
              <w:rPr>
                <w:highlight w:val="cyan"/>
              </w:rPr>
            </w:pPr>
            <w:r w:rsidRPr="00857370">
              <w:rPr>
                <w:highlight w:val="cyan"/>
              </w:rPr>
              <w:t>Simulation: 0.607µg/L</w:t>
            </w:r>
          </w:p>
          <w:p w:rsidR="00857370" w:rsidRPr="00857370" w:rsidRDefault="00857370">
            <w:pPr>
              <w:pStyle w:val="RepTable"/>
              <w:rPr>
                <w:highlight w:val="cyan"/>
              </w:rPr>
            </w:pPr>
          </w:p>
          <w:p w:rsidR="00857370" w:rsidRPr="00857370" w:rsidRDefault="00857370">
            <w:pPr>
              <w:pStyle w:val="RepTable"/>
              <w:rPr>
                <w:highlight w:val="cyan"/>
              </w:rPr>
            </w:pPr>
            <w:r w:rsidRPr="00857370">
              <w:rPr>
                <w:highlight w:val="cyan"/>
              </w:rPr>
              <w:t xml:space="preserve">Lysimeter: spring or autumn </w:t>
            </w:r>
            <w:r w:rsidRPr="00857370">
              <w:rPr>
                <w:highlight w:val="cyan"/>
              </w:rPr>
              <w:lastRenderedPageBreak/>
              <w:t>application of 2 × 15 g/ha, in consecutive years.</w:t>
            </w:r>
          </w:p>
          <w:p w:rsidR="00857370" w:rsidRPr="00857370" w:rsidRDefault="00857370">
            <w:pPr>
              <w:pStyle w:val="RepTable"/>
              <w:rPr>
                <w:highlight w:val="cyan"/>
              </w:rPr>
            </w:pPr>
          </w:p>
          <w:p w:rsidR="00857370" w:rsidRPr="00857370" w:rsidRDefault="00857370">
            <w:pPr>
              <w:pStyle w:val="RepTable"/>
              <w:rPr>
                <w:highlight w:val="cyan"/>
              </w:rPr>
            </w:pPr>
            <w:r w:rsidRPr="00857370">
              <w:rPr>
                <w:highlight w:val="cyan"/>
              </w:rPr>
              <w:t>Simulation: FOCUS PEARL 5.5.5, Jokioinen</w:t>
            </w:r>
          </w:p>
          <w:p w:rsidR="00857370" w:rsidRPr="00857370" w:rsidRDefault="00857370">
            <w:pPr>
              <w:pStyle w:val="RepTable"/>
              <w:suppressAutoHyphens/>
              <w:rPr>
                <w:highlight w:val="cyan"/>
              </w:rPr>
            </w:pPr>
            <w:r w:rsidRPr="00857370">
              <w:rPr>
                <w:highlight w:val="cyan"/>
                <w:lang w:val="en-US"/>
              </w:rPr>
              <w:t>Winter cereals, End of winter to spring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pStyle w:val="RepTable"/>
              <w:suppressAutoHyphens/>
              <w:rPr>
                <w:highlight w:val="cyan"/>
              </w:rPr>
            </w:pPr>
            <w:r w:rsidRPr="00857370">
              <w:rPr>
                <w:highlight w:val="cyan"/>
              </w:rPr>
              <w:lastRenderedPageBreak/>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rsidP="00857370">
            <w:pPr>
              <w:suppressAutoHyphens/>
              <w:jc w:val="center"/>
              <w:rPr>
                <w:sz w:val="20"/>
                <w:szCs w:val="20"/>
                <w:highlight w:val="cyan"/>
              </w:rPr>
            </w:pPr>
            <w:bookmarkStart w:id="47" w:name="_Hlk135906318"/>
            <w:r w:rsidRPr="00857370">
              <w:rPr>
                <w:sz w:val="20"/>
                <w:szCs w:val="20"/>
                <w:highlight w:val="cyan"/>
              </w:rPr>
              <w:t>AE F140584</w:t>
            </w:r>
            <w:bookmarkEnd w:id="47"/>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rsidP="00857370">
            <w:pPr>
              <w:pStyle w:val="RepTable"/>
              <w:suppressAutoHyphens/>
              <w:rPr>
                <w:highlight w:val="cyan"/>
              </w:rPr>
            </w:pPr>
            <w:r w:rsidRPr="00857370">
              <w:rPr>
                <w:highlight w:val="cyan"/>
              </w:rPr>
              <w:drawing>
                <wp:inline distT="0" distB="0" distL="0" distR="0">
                  <wp:extent cx="1714500" cy="9461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714500" cy="94615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rsidP="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0.060 µg/L</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FOCUS PELMO 6.6.4., Jokioinen</w:t>
            </w:r>
          </w:p>
          <w:p w:rsidR="00857370" w:rsidRPr="00857370" w:rsidRDefault="00857370">
            <w:pPr>
              <w:pStyle w:val="RepTable"/>
              <w:suppressAutoHyphens/>
              <w:spacing w:before="240"/>
              <w:rPr>
                <w:highlight w:val="cyan"/>
              </w:rPr>
            </w:pPr>
            <w:r w:rsidRPr="00857370">
              <w:rPr>
                <w:highlight w:val="cyan"/>
              </w:rPr>
              <w:t>Winter cereals, Autumn application</w:t>
            </w:r>
          </w:p>
        </w:tc>
      </w:tr>
      <w:tr w:rsidR="00857370" w:rsidRPr="00857370" w:rsidTr="00857370">
        <w:tc>
          <w:tcPr>
            <w:tcW w:w="683"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highlight w:val="cyan"/>
              </w:rPr>
              <w:t>Mesosulfuron-methyl</w:t>
            </w:r>
          </w:p>
        </w:tc>
        <w:tc>
          <w:tcPr>
            <w:tcW w:w="90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suppressAutoHyphens/>
              <w:jc w:val="center"/>
              <w:rPr>
                <w:sz w:val="20"/>
                <w:szCs w:val="20"/>
                <w:highlight w:val="cyan"/>
              </w:rPr>
            </w:pPr>
            <w:bookmarkStart w:id="48" w:name="_Hlk135906384"/>
            <w:r w:rsidRPr="00857370">
              <w:rPr>
                <w:sz w:val="20"/>
                <w:szCs w:val="20"/>
                <w:highlight w:val="cyan"/>
              </w:rPr>
              <w:t>AE F147447</w:t>
            </w:r>
            <w:bookmarkEnd w:id="48"/>
          </w:p>
        </w:tc>
        <w:tc>
          <w:tcPr>
            <w:tcW w:w="2119" w:type="pct"/>
            <w:tcBorders>
              <w:top w:val="single" w:sz="4" w:space="0" w:color="auto"/>
              <w:left w:val="single" w:sz="4" w:space="0" w:color="auto"/>
              <w:bottom w:val="single" w:sz="4" w:space="0" w:color="auto"/>
              <w:right w:val="single" w:sz="4" w:space="0" w:color="auto"/>
            </w:tcBorders>
            <w:hideMark/>
          </w:tcPr>
          <w:p w:rsidR="00857370" w:rsidRPr="00857370" w:rsidRDefault="00F674A2">
            <w:pPr>
              <w:pStyle w:val="RepTable"/>
              <w:suppressAutoHyphens/>
              <w:rPr>
                <w:highlight w:val="cyan"/>
              </w:rPr>
            </w:pPr>
            <w:r w:rsidRPr="00857370">
              <w:rPr>
                <w:highlight w:val="cyan"/>
              </w:rPr>
              <w:drawing>
                <wp:inline distT="0" distB="0" distL="0" distR="0">
                  <wp:extent cx="2286000" cy="12319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286000" cy="1231900"/>
                          </a:xfrm>
                          <a:prstGeom prst="rect">
                            <a:avLst/>
                          </a:prstGeom>
                          <a:noFill/>
                          <a:ln>
                            <a:noFill/>
                          </a:ln>
                        </pic:spPr>
                      </pic:pic>
                    </a:graphicData>
                  </a:graphic>
                </wp:inline>
              </w:drawing>
            </w:r>
          </w:p>
        </w:tc>
        <w:tc>
          <w:tcPr>
            <w:tcW w:w="714"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Max PEC</w:t>
            </w:r>
            <w:r w:rsidRPr="00857370">
              <w:rPr>
                <w:highlight w:val="cyan"/>
                <w:vertAlign w:val="subscript"/>
              </w:rPr>
              <w:t>gw</w:t>
            </w:r>
            <w:r w:rsidRPr="00857370">
              <w:rPr>
                <w:highlight w:val="cyan"/>
              </w:rPr>
              <w:t xml:space="preserve"> </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Based on:</w:t>
            </w:r>
          </w:p>
          <w:p w:rsidR="00857370" w:rsidRPr="00857370" w:rsidRDefault="00857370">
            <w:pPr>
              <w:pStyle w:val="RepTable"/>
              <w:suppressAutoHyphens/>
              <w:rPr>
                <w:highlight w:val="cyan"/>
              </w:rPr>
            </w:pPr>
          </w:p>
        </w:tc>
        <w:tc>
          <w:tcPr>
            <w:tcW w:w="577"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0.401 µg/L</w:t>
            </w:r>
          </w:p>
          <w:p w:rsidR="00857370" w:rsidRPr="00857370" w:rsidRDefault="00857370">
            <w:pPr>
              <w:pStyle w:val="RepTable"/>
              <w:suppressAutoHyphens/>
              <w:rPr>
                <w:highlight w:val="cyan"/>
              </w:rPr>
            </w:pPr>
          </w:p>
          <w:p w:rsidR="00857370" w:rsidRPr="00857370" w:rsidRDefault="00857370">
            <w:pPr>
              <w:pStyle w:val="RepTable"/>
              <w:suppressAutoHyphens/>
              <w:rPr>
                <w:highlight w:val="cyan"/>
              </w:rPr>
            </w:pPr>
            <w:r w:rsidRPr="00857370">
              <w:rPr>
                <w:highlight w:val="cyan"/>
              </w:rPr>
              <w:t xml:space="preserve">FOCUS PEARL 5.5.5, Jokioinen </w:t>
            </w:r>
          </w:p>
          <w:p w:rsidR="00857370" w:rsidRPr="00857370" w:rsidRDefault="00857370">
            <w:pPr>
              <w:pStyle w:val="RepTable"/>
              <w:suppressAutoHyphens/>
              <w:spacing w:before="240"/>
              <w:rPr>
                <w:highlight w:val="cyan"/>
              </w:rPr>
            </w:pPr>
            <w:r w:rsidRPr="00857370">
              <w:rPr>
                <w:highlight w:val="cyan"/>
              </w:rPr>
              <w:t>Winter cereals, End of winter to spring application</w:t>
            </w:r>
          </w:p>
        </w:tc>
      </w:tr>
    </w:tbl>
    <w:p w:rsidR="00857370" w:rsidRPr="00857370" w:rsidRDefault="00857370" w:rsidP="00857370">
      <w:pPr>
        <w:pStyle w:val="RepStandard"/>
        <w:rPr>
          <w:highlight w:val="cyan"/>
          <w:lang w:eastAsia="de-DE"/>
        </w:rPr>
      </w:pPr>
    </w:p>
    <w:p w:rsidR="00857370" w:rsidRPr="00857370" w:rsidRDefault="00857370" w:rsidP="00857370">
      <w:pPr>
        <w:pStyle w:val="RepStandard"/>
        <w:rPr>
          <w:highlight w:val="cyan"/>
        </w:rPr>
      </w:pPr>
    </w:p>
    <w:p w:rsidR="00857370" w:rsidRPr="00857370" w:rsidRDefault="00857370" w:rsidP="00857370">
      <w:pPr>
        <w:pStyle w:val="RepStandard"/>
        <w:rPr>
          <w:b/>
          <w:highlight w:val="cyan"/>
          <w:lang w:val="en-IE"/>
        </w:rPr>
      </w:pPr>
      <w:proofErr w:type="spellStart"/>
      <w:r w:rsidRPr="00857370">
        <w:rPr>
          <w:b/>
          <w:highlight w:val="cyan"/>
          <w:lang w:val="en-IE"/>
        </w:rPr>
        <w:t>Mefenpyr</w:t>
      </w:r>
      <w:proofErr w:type="spellEnd"/>
      <w:r w:rsidRPr="00857370">
        <w:rPr>
          <w:b/>
          <w:highlight w:val="cyan"/>
          <w:lang w:val="en-IE"/>
        </w:rPr>
        <w:t xml:space="preserve">-diethyl (safener) </w:t>
      </w:r>
    </w:p>
    <w:p w:rsidR="00857370" w:rsidRPr="00857370" w:rsidRDefault="00857370" w:rsidP="00857370">
      <w:pPr>
        <w:pStyle w:val="RepStandard"/>
        <w:spacing w:before="240"/>
        <w:rPr>
          <w:highlight w:val="cyan"/>
        </w:rPr>
      </w:pPr>
      <w:r w:rsidRPr="00857370">
        <w:rPr>
          <w:highlight w:val="cyan"/>
        </w:rPr>
        <w:t xml:space="preserve">None of the soil metabolites of </w:t>
      </w:r>
      <w:proofErr w:type="spellStart"/>
      <w:r w:rsidRPr="00857370">
        <w:rPr>
          <w:highlight w:val="cyan"/>
        </w:rPr>
        <w:t>mefenpyr</w:t>
      </w:r>
      <w:proofErr w:type="spellEnd"/>
      <w:r w:rsidRPr="00857370">
        <w:rPr>
          <w:highlight w:val="cyan"/>
        </w:rPr>
        <w:t>-diethyl is predicted to occur in groundwater recharge at concentrations above 0.1 µg/L for the intended uses of the product (see dRR part B.8, Point 8.8). An assessment of the relevance of metabolites according to the stepwise procedure of the EC guidance document SAN-CO/221/2000 –rev.11 is therefore not required for this safener component.</w:t>
      </w:r>
    </w:p>
    <w:p w:rsidR="00857370" w:rsidRPr="00857370" w:rsidRDefault="00857370" w:rsidP="00857370">
      <w:pPr>
        <w:pStyle w:val="RepStandard"/>
        <w:spacing w:before="240"/>
        <w:rPr>
          <w:highlight w:val="cyan"/>
        </w:rPr>
      </w:pPr>
      <w:r w:rsidRPr="00857370">
        <w:rPr>
          <w:highlight w:val="cyan"/>
        </w:rPr>
        <w:t xml:space="preserve">General information on the metabolites of </w:t>
      </w:r>
      <w:proofErr w:type="spellStart"/>
      <w:r w:rsidRPr="00857370">
        <w:rPr>
          <w:highlight w:val="cyan"/>
        </w:rPr>
        <w:t>mefenpyr</w:t>
      </w:r>
      <w:proofErr w:type="spellEnd"/>
      <w:r w:rsidRPr="00857370">
        <w:rPr>
          <w:highlight w:val="cyan"/>
        </w:rPr>
        <w:t xml:space="preserve">-diethyl including overall maximum </w:t>
      </w:r>
      <w:proofErr w:type="spellStart"/>
      <w:r w:rsidRPr="00857370">
        <w:rPr>
          <w:highlight w:val="cyan"/>
        </w:rPr>
        <w:t>PECgw</w:t>
      </w:r>
      <w:proofErr w:type="spellEnd"/>
      <w:r w:rsidRPr="00857370">
        <w:rPr>
          <w:highlight w:val="cyan"/>
        </w:rPr>
        <w:t xml:space="preserve"> values for the generic risk envelope use evaluated is provided in Table 10.1-3.</w:t>
      </w:r>
    </w:p>
    <w:p w:rsidR="00857370" w:rsidRPr="00857370" w:rsidRDefault="00857370" w:rsidP="00857370">
      <w:pPr>
        <w:pStyle w:val="RepLabel"/>
        <w:suppressAutoHyphens/>
        <w:rPr>
          <w:highlight w:val="cyan"/>
        </w:rPr>
      </w:pPr>
      <w:bookmarkStart w:id="49" w:name="_Hlk150773078"/>
      <w:r w:rsidRPr="00857370">
        <w:rPr>
          <w:highlight w:val="cyan"/>
        </w:rPr>
        <w:lastRenderedPageBreak/>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10.1</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3</w:t>
      </w:r>
      <w:r w:rsidRPr="00857370">
        <w:rPr>
          <w:highlight w:val="cyan"/>
        </w:rPr>
        <w:fldChar w:fldCharType="end"/>
      </w:r>
      <w:r w:rsidRPr="00857370">
        <w:rPr>
          <w:highlight w:val="cyan"/>
        </w:rPr>
        <w:t>:</w:t>
      </w:r>
      <w:r w:rsidRPr="00857370">
        <w:rPr>
          <w:highlight w:val="cyan"/>
        </w:rPr>
        <w:tab/>
        <w:t xml:space="preserve">General information on the metabolite of </w:t>
      </w:r>
      <w:proofErr w:type="spellStart"/>
      <w:r w:rsidRPr="00857370">
        <w:rPr>
          <w:highlight w:val="cyan"/>
        </w:rPr>
        <w:t>mefenpyr</w:t>
      </w:r>
      <w:proofErr w:type="spellEnd"/>
      <w:r w:rsidRPr="00857370">
        <w:rPr>
          <w:highlight w:val="cyan"/>
        </w:rPr>
        <w:t xml:space="preserve">-diethyl (safener) </w:t>
      </w:r>
    </w:p>
    <w:tbl>
      <w:tblPr>
        <w:tblW w:w="9450" w:type="dxa"/>
        <w:tblInd w:w="-30" w:type="dxa"/>
        <w:tblLayout w:type="fixed"/>
        <w:tblCellMar>
          <w:left w:w="0" w:type="dxa"/>
          <w:right w:w="0" w:type="dxa"/>
        </w:tblCellMar>
        <w:tblLook w:val="04A0" w:firstRow="1" w:lastRow="0" w:firstColumn="1" w:lastColumn="0" w:noHBand="0" w:noVBand="1"/>
      </w:tblPr>
      <w:tblGrid>
        <w:gridCol w:w="924"/>
        <w:gridCol w:w="1239"/>
        <w:gridCol w:w="3119"/>
        <w:gridCol w:w="1276"/>
        <w:gridCol w:w="2892"/>
      </w:tblGrid>
      <w:tr w:rsidR="00857370" w:rsidRPr="00857370" w:rsidTr="00857370">
        <w:trPr>
          <w:trHeight w:val="964"/>
        </w:trPr>
        <w:tc>
          <w:tcPr>
            <w:tcW w:w="923"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b/>
                <w:bCs/>
                <w:kern w:val="2"/>
                <w:sz w:val="20"/>
                <w:szCs w:val="20"/>
                <w:highlight w:val="cyan"/>
                <w:lang w:val="en-IE" w:eastAsia="en-IE"/>
              </w:rPr>
            </w:pPr>
            <w:r w:rsidRPr="00857370">
              <w:rPr>
                <w:rFonts w:eastAsia="Calibri"/>
                <w:b/>
                <w:bCs/>
                <w:kern w:val="2"/>
                <w:sz w:val="20"/>
                <w:szCs w:val="20"/>
                <w:highlight w:val="cyan"/>
                <w:lang w:val="en-IE" w:eastAsia="en-IE"/>
              </w:rPr>
              <w:t>Name of active substance</w:t>
            </w:r>
          </w:p>
        </w:tc>
        <w:tc>
          <w:tcPr>
            <w:tcW w:w="1239"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b/>
                <w:bCs/>
                <w:kern w:val="2"/>
                <w:sz w:val="20"/>
                <w:szCs w:val="20"/>
                <w:highlight w:val="cyan"/>
                <w:lang w:val="en-IE" w:eastAsia="en-IE"/>
              </w:rPr>
            </w:pPr>
            <w:r w:rsidRPr="00857370">
              <w:rPr>
                <w:rFonts w:eastAsia="Calibri"/>
                <w:b/>
                <w:bCs/>
                <w:kern w:val="2"/>
                <w:sz w:val="20"/>
                <w:szCs w:val="20"/>
                <w:highlight w:val="cyan"/>
                <w:lang w:val="en-IE" w:eastAsia="en-IE"/>
              </w:rPr>
              <w:t>Metabolite name and code</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857370" w:rsidRPr="00857370" w:rsidRDefault="00857370">
            <w:pPr>
              <w:jc w:val="center"/>
              <w:rPr>
                <w:rFonts w:eastAsia="Calibri"/>
                <w:b/>
                <w:bCs/>
                <w:kern w:val="2"/>
                <w:sz w:val="20"/>
                <w:szCs w:val="20"/>
                <w:highlight w:val="cyan"/>
                <w:lang w:val="en-IE" w:eastAsia="en-IE"/>
              </w:rPr>
            </w:pPr>
            <w:r w:rsidRPr="00857370">
              <w:rPr>
                <w:rFonts w:eastAsia="Calibri"/>
                <w:b/>
                <w:bCs/>
                <w:kern w:val="2"/>
                <w:sz w:val="20"/>
                <w:szCs w:val="20"/>
                <w:highlight w:val="cyan"/>
                <w:lang w:val="en-IE" w:eastAsia="en-IE"/>
              </w:rPr>
              <w:t>Structural/molecular formula</w:t>
            </w:r>
          </w:p>
        </w:tc>
        <w:tc>
          <w:tcPr>
            <w:tcW w:w="4167" w:type="dxa"/>
            <w:gridSpan w:val="2"/>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b/>
                <w:bCs/>
                <w:kern w:val="2"/>
                <w:sz w:val="20"/>
                <w:szCs w:val="20"/>
                <w:highlight w:val="cyan"/>
                <w:lang w:val="en-IE" w:eastAsia="en-IE"/>
              </w:rPr>
            </w:pPr>
            <w:r w:rsidRPr="00857370">
              <w:rPr>
                <w:rFonts w:eastAsia="Calibri"/>
                <w:b/>
                <w:bCs/>
                <w:kern w:val="2"/>
                <w:sz w:val="20"/>
                <w:szCs w:val="20"/>
                <w:highlight w:val="cyan"/>
                <w:lang w:val="en-IE" w:eastAsia="en-IE"/>
              </w:rPr>
              <w:t>Trigger for relevance assessment</w:t>
            </w:r>
          </w:p>
        </w:tc>
      </w:tr>
      <w:tr w:rsidR="00857370" w:rsidRPr="00857370" w:rsidTr="00857370">
        <w:trPr>
          <w:trHeight w:val="2763"/>
        </w:trPr>
        <w:tc>
          <w:tcPr>
            <w:tcW w:w="923"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proofErr w:type="spellStart"/>
            <w:r w:rsidRPr="00857370">
              <w:rPr>
                <w:rFonts w:eastAsia="Calibri"/>
                <w:kern w:val="2"/>
                <w:sz w:val="20"/>
                <w:szCs w:val="20"/>
                <w:highlight w:val="cyan"/>
                <w:lang w:val="en-IE" w:eastAsia="en-IE"/>
              </w:rPr>
              <w:t>Mefenpyr</w:t>
            </w:r>
            <w:proofErr w:type="spellEnd"/>
            <w:r w:rsidRPr="00857370">
              <w:rPr>
                <w:rFonts w:eastAsia="Calibri"/>
                <w:kern w:val="2"/>
                <w:sz w:val="20"/>
                <w:szCs w:val="20"/>
                <w:highlight w:val="cyan"/>
                <w:lang w:val="en-IE" w:eastAsia="en-IE"/>
              </w:rPr>
              <w:t>-diethyl</w:t>
            </w:r>
          </w:p>
        </w:tc>
        <w:tc>
          <w:tcPr>
            <w:tcW w:w="1239"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r w:rsidRPr="00857370">
              <w:rPr>
                <w:rFonts w:eastAsia="Calibri"/>
                <w:kern w:val="2"/>
                <w:sz w:val="20"/>
                <w:szCs w:val="20"/>
                <w:highlight w:val="cyan"/>
                <w:lang w:val="en-IE" w:eastAsia="en-IE"/>
              </w:rPr>
              <w:t>AE F113225</w:t>
            </w:r>
          </w:p>
        </w:tc>
        <w:tc>
          <w:tcPr>
            <w:tcW w:w="3118" w:type="dxa"/>
            <w:tcBorders>
              <w:top w:val="single" w:sz="4" w:space="0" w:color="000000"/>
              <w:left w:val="single" w:sz="4" w:space="0" w:color="000000"/>
              <w:bottom w:val="single" w:sz="4" w:space="0" w:color="000000"/>
              <w:right w:val="single" w:sz="4" w:space="0" w:color="auto"/>
            </w:tcBorders>
            <w:vAlign w:val="center"/>
          </w:tcPr>
          <w:p w:rsidR="00857370" w:rsidRPr="00857370" w:rsidRDefault="00857370">
            <w:pPr>
              <w:jc w:val="center"/>
              <w:rPr>
                <w:rFonts w:ascii="Calibri" w:eastAsia="Calibri" w:hAnsi="Calibri"/>
                <w:b/>
                <w:bCs/>
                <w:kern w:val="2"/>
                <w:sz w:val="20"/>
                <w:szCs w:val="20"/>
                <w:highlight w:val="cyan"/>
                <w:lang w:val="en-IE" w:eastAsia="en-IE"/>
              </w:rPr>
            </w:pPr>
          </w:p>
          <w:p w:rsidR="00857370" w:rsidRPr="00857370" w:rsidRDefault="00F674A2">
            <w:pPr>
              <w:jc w:val="center"/>
              <w:rPr>
                <w:rFonts w:ascii="Calibri" w:eastAsia="Calibri" w:hAnsi="Calibri"/>
                <w:b/>
                <w:bCs/>
                <w:kern w:val="2"/>
                <w:sz w:val="20"/>
                <w:szCs w:val="20"/>
                <w:highlight w:val="cyan"/>
                <w:lang w:val="en-IE" w:eastAsia="en-IE"/>
              </w:rPr>
            </w:pPr>
            <w:r w:rsidRPr="00857370">
              <w:rPr>
                <w:rFonts w:ascii="Calibri" w:eastAsia="Calibri" w:hAnsi="Calibri"/>
                <w:b/>
                <w:bCs/>
                <w:noProof/>
                <w:kern w:val="2"/>
                <w:sz w:val="20"/>
                <w:szCs w:val="20"/>
                <w:highlight w:val="cyan"/>
                <w:lang w:val="en-IE" w:eastAsia="en-IE"/>
              </w:rPr>
              <w:drawing>
                <wp:inline distT="0" distB="0" distL="0" distR="0">
                  <wp:extent cx="1219200" cy="89535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219200" cy="895350"/>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tcPr>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 xml:space="preserve">Max </w:t>
            </w:r>
            <w:proofErr w:type="spellStart"/>
            <w:r w:rsidRPr="00857370">
              <w:rPr>
                <w:rFonts w:eastAsia="Calibri"/>
                <w:kern w:val="2"/>
                <w:sz w:val="20"/>
                <w:szCs w:val="20"/>
                <w:highlight w:val="cyan"/>
                <w:lang w:val="en-GB" w:eastAsia="en-IE"/>
              </w:rPr>
              <w:t>PEC</w:t>
            </w:r>
            <w:r w:rsidRPr="00857370">
              <w:rPr>
                <w:rFonts w:eastAsia="Calibri"/>
                <w:kern w:val="2"/>
                <w:sz w:val="20"/>
                <w:szCs w:val="20"/>
                <w:highlight w:val="cyan"/>
                <w:vertAlign w:val="subscript"/>
                <w:lang w:val="en-GB" w:eastAsia="en-IE"/>
              </w:rPr>
              <w:t>gw</w:t>
            </w:r>
            <w:proofErr w:type="spellEnd"/>
            <w:r w:rsidRPr="00857370">
              <w:rPr>
                <w:rFonts w:eastAsia="Calibri"/>
                <w:kern w:val="2"/>
                <w:sz w:val="20"/>
                <w:szCs w:val="20"/>
                <w:highlight w:val="cyan"/>
                <w:lang w:val="en-GB" w:eastAsia="en-IE"/>
              </w:rPr>
              <w:t xml:space="preserve"> </w:t>
            </w: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Based on:</w:t>
            </w:r>
          </w:p>
          <w:p w:rsidR="00857370" w:rsidRPr="00857370" w:rsidRDefault="00857370">
            <w:pPr>
              <w:rPr>
                <w:rFonts w:eastAsia="Calibri"/>
                <w:kern w:val="2"/>
                <w:sz w:val="20"/>
                <w:szCs w:val="20"/>
                <w:highlight w:val="cyan"/>
                <w:lang w:val="en-IE" w:eastAsia="en-IE"/>
              </w:rPr>
            </w:pPr>
          </w:p>
        </w:tc>
        <w:tc>
          <w:tcPr>
            <w:tcW w:w="2891" w:type="dxa"/>
            <w:tcBorders>
              <w:top w:val="single" w:sz="4" w:space="0" w:color="auto"/>
              <w:left w:val="single" w:sz="4" w:space="0" w:color="auto"/>
              <w:bottom w:val="single" w:sz="4" w:space="0" w:color="auto"/>
              <w:right w:val="single" w:sz="4" w:space="0" w:color="auto"/>
            </w:tcBorders>
            <w:hideMark/>
          </w:tcPr>
          <w:p w:rsidR="00857370" w:rsidRPr="00857370" w:rsidRDefault="00857370">
            <w:pPr>
              <w:rPr>
                <w:color w:val="000000"/>
                <w:kern w:val="2"/>
                <w:sz w:val="20"/>
                <w:highlight w:val="cyan"/>
                <w:lang w:val="en-IE" w:eastAsia="en-IE"/>
              </w:rPr>
            </w:pPr>
            <w:r w:rsidRPr="00857370">
              <w:rPr>
                <w:color w:val="000000"/>
                <w:kern w:val="2"/>
                <w:sz w:val="20"/>
                <w:highlight w:val="cyan"/>
                <w:lang w:val="en-IE" w:eastAsia="en-IE"/>
              </w:rPr>
              <w:t>&lt;0.001 µg/L</w:t>
            </w:r>
          </w:p>
          <w:p w:rsidR="00857370" w:rsidRPr="00857370" w:rsidRDefault="00857370">
            <w:pPr>
              <w:rPr>
                <w:rFonts w:eastAsia="Calibri"/>
                <w:kern w:val="2"/>
                <w:sz w:val="20"/>
                <w:szCs w:val="20"/>
                <w:highlight w:val="cyan"/>
                <w:lang w:val="en-IE" w:eastAsia="en-IE"/>
              </w:rPr>
            </w:pPr>
            <w:r w:rsidRPr="00857370">
              <w:rPr>
                <w:rFonts w:eastAsia="Calibri"/>
                <w:kern w:val="2"/>
                <w:sz w:val="20"/>
                <w:szCs w:val="20"/>
                <w:highlight w:val="cyan"/>
                <w:lang w:val="en-IE" w:eastAsia="en-IE"/>
              </w:rPr>
              <w:t>all FOCUS</w:t>
            </w:r>
            <w:r w:rsidRPr="00857370">
              <w:rPr>
                <w:color w:val="000000"/>
                <w:kern w:val="2"/>
                <w:sz w:val="20"/>
                <w:highlight w:val="cyan"/>
                <w:lang w:val="en-IE" w:eastAsia="en-IE"/>
              </w:rPr>
              <w:t xml:space="preserve"> </w:t>
            </w:r>
            <w:r w:rsidRPr="00857370">
              <w:rPr>
                <w:rFonts w:eastAsia="Calibri"/>
                <w:kern w:val="2"/>
                <w:sz w:val="20"/>
                <w:szCs w:val="20"/>
                <w:highlight w:val="cyan"/>
                <w:lang w:val="en-IE" w:eastAsia="en-IE"/>
              </w:rPr>
              <w:t>scenarios</w:t>
            </w:r>
          </w:p>
        </w:tc>
      </w:tr>
      <w:tr w:rsidR="00857370" w:rsidRPr="00857370" w:rsidTr="00857370">
        <w:trPr>
          <w:trHeight w:val="964"/>
        </w:trPr>
        <w:tc>
          <w:tcPr>
            <w:tcW w:w="923"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proofErr w:type="spellStart"/>
            <w:r w:rsidRPr="00857370">
              <w:rPr>
                <w:rFonts w:eastAsia="Calibri"/>
                <w:kern w:val="2"/>
                <w:sz w:val="20"/>
                <w:szCs w:val="20"/>
                <w:highlight w:val="cyan"/>
                <w:lang w:val="en-IE" w:eastAsia="en-IE"/>
              </w:rPr>
              <w:t>Mefenpyr</w:t>
            </w:r>
            <w:proofErr w:type="spellEnd"/>
            <w:r w:rsidRPr="00857370">
              <w:rPr>
                <w:rFonts w:eastAsia="Calibri"/>
                <w:kern w:val="2"/>
                <w:sz w:val="20"/>
                <w:szCs w:val="20"/>
                <w:highlight w:val="cyan"/>
                <w:lang w:val="en-IE" w:eastAsia="en-IE"/>
              </w:rPr>
              <w:t>-diethyl</w:t>
            </w:r>
          </w:p>
        </w:tc>
        <w:tc>
          <w:tcPr>
            <w:tcW w:w="1239"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r w:rsidRPr="00857370">
              <w:rPr>
                <w:rFonts w:eastAsia="Calibri"/>
                <w:kern w:val="2"/>
                <w:sz w:val="20"/>
                <w:szCs w:val="20"/>
                <w:highlight w:val="cyan"/>
                <w:lang w:val="en-IE" w:eastAsia="en-IE"/>
              </w:rPr>
              <w:t>AE F094270</w:t>
            </w:r>
          </w:p>
        </w:tc>
        <w:tc>
          <w:tcPr>
            <w:tcW w:w="3118" w:type="dxa"/>
            <w:tcBorders>
              <w:top w:val="single" w:sz="4" w:space="0" w:color="000000"/>
              <w:left w:val="single" w:sz="4" w:space="0" w:color="000000"/>
              <w:bottom w:val="single" w:sz="4" w:space="0" w:color="000000"/>
              <w:right w:val="single" w:sz="4" w:space="0" w:color="auto"/>
            </w:tcBorders>
            <w:vAlign w:val="center"/>
            <w:hideMark/>
          </w:tcPr>
          <w:p w:rsidR="00857370" w:rsidRPr="00857370" w:rsidRDefault="00F674A2">
            <w:pPr>
              <w:jc w:val="center"/>
              <w:rPr>
                <w:rFonts w:ascii="Calibri" w:eastAsia="Calibri" w:hAnsi="Calibri"/>
                <w:b/>
                <w:bCs/>
                <w:kern w:val="2"/>
                <w:sz w:val="20"/>
                <w:szCs w:val="20"/>
                <w:highlight w:val="cyan"/>
                <w:lang w:val="en-IE" w:eastAsia="en-IE"/>
              </w:rPr>
            </w:pPr>
            <w:r w:rsidRPr="00857370">
              <w:rPr>
                <w:rFonts w:ascii="Calibri" w:eastAsia="Calibri" w:hAnsi="Calibri"/>
                <w:b/>
                <w:bCs/>
                <w:noProof/>
                <w:kern w:val="2"/>
                <w:sz w:val="20"/>
                <w:szCs w:val="20"/>
                <w:highlight w:val="cyan"/>
                <w:lang w:val="en-IE" w:eastAsia="en-IE"/>
              </w:rPr>
              <w:drawing>
                <wp:inline distT="0" distB="0" distL="0" distR="0">
                  <wp:extent cx="1504950" cy="77470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04950" cy="774700"/>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tcPr>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 xml:space="preserve">Max </w:t>
            </w:r>
            <w:proofErr w:type="spellStart"/>
            <w:r w:rsidRPr="00857370">
              <w:rPr>
                <w:rFonts w:eastAsia="Calibri"/>
                <w:kern w:val="2"/>
                <w:sz w:val="20"/>
                <w:szCs w:val="20"/>
                <w:highlight w:val="cyan"/>
                <w:lang w:val="en-GB" w:eastAsia="en-IE"/>
              </w:rPr>
              <w:t>PEC</w:t>
            </w:r>
            <w:r w:rsidRPr="00857370">
              <w:rPr>
                <w:rFonts w:eastAsia="Calibri"/>
                <w:kern w:val="2"/>
                <w:sz w:val="20"/>
                <w:szCs w:val="20"/>
                <w:highlight w:val="cyan"/>
                <w:vertAlign w:val="subscript"/>
                <w:lang w:val="en-GB" w:eastAsia="en-IE"/>
              </w:rPr>
              <w:t>gw</w:t>
            </w:r>
            <w:proofErr w:type="spellEnd"/>
            <w:r w:rsidRPr="00857370">
              <w:rPr>
                <w:rFonts w:eastAsia="Calibri"/>
                <w:kern w:val="2"/>
                <w:sz w:val="20"/>
                <w:szCs w:val="20"/>
                <w:highlight w:val="cyan"/>
                <w:lang w:val="en-GB" w:eastAsia="en-IE"/>
              </w:rPr>
              <w:t xml:space="preserve"> </w:t>
            </w: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Based on:</w:t>
            </w:r>
          </w:p>
          <w:p w:rsidR="00857370" w:rsidRPr="00857370" w:rsidRDefault="00857370">
            <w:pPr>
              <w:rPr>
                <w:rFonts w:ascii="Calibri" w:eastAsia="Calibri" w:hAnsi="Calibri"/>
                <w:kern w:val="2"/>
                <w:sz w:val="20"/>
                <w:szCs w:val="20"/>
                <w:highlight w:val="cyan"/>
                <w:lang w:val="en-GB" w:eastAsia="en-IE"/>
              </w:rPr>
            </w:pPr>
          </w:p>
        </w:tc>
        <w:tc>
          <w:tcPr>
            <w:tcW w:w="2891" w:type="dxa"/>
            <w:tcBorders>
              <w:top w:val="single" w:sz="4" w:space="0" w:color="auto"/>
              <w:left w:val="single" w:sz="4" w:space="0" w:color="auto"/>
              <w:bottom w:val="single" w:sz="4" w:space="0" w:color="auto"/>
              <w:right w:val="single" w:sz="4" w:space="0" w:color="auto"/>
            </w:tcBorders>
            <w:hideMark/>
          </w:tcPr>
          <w:p w:rsidR="00857370" w:rsidRPr="00857370" w:rsidRDefault="00857370">
            <w:pPr>
              <w:rPr>
                <w:color w:val="000000"/>
                <w:kern w:val="2"/>
                <w:sz w:val="20"/>
                <w:highlight w:val="cyan"/>
                <w:lang w:val="en-IE" w:eastAsia="en-IE"/>
              </w:rPr>
            </w:pPr>
            <w:r w:rsidRPr="00857370">
              <w:rPr>
                <w:color w:val="000000"/>
                <w:kern w:val="2"/>
                <w:sz w:val="20"/>
                <w:highlight w:val="cyan"/>
                <w:lang w:val="en-IE" w:eastAsia="en-IE"/>
              </w:rPr>
              <w:t>&lt;0.001 µg/L</w:t>
            </w:r>
          </w:p>
          <w:p w:rsidR="00857370" w:rsidRPr="00857370" w:rsidRDefault="00857370">
            <w:pPr>
              <w:rPr>
                <w:color w:val="000000"/>
                <w:kern w:val="2"/>
                <w:sz w:val="20"/>
                <w:highlight w:val="cyan"/>
                <w:lang w:val="en-IE" w:eastAsia="en-IE"/>
              </w:rPr>
            </w:pPr>
            <w:r w:rsidRPr="00857370">
              <w:rPr>
                <w:rFonts w:eastAsia="Calibri"/>
                <w:kern w:val="2"/>
                <w:sz w:val="20"/>
                <w:szCs w:val="20"/>
                <w:highlight w:val="cyan"/>
                <w:lang w:val="en-IE" w:eastAsia="en-IE"/>
              </w:rPr>
              <w:t>all FOCUS</w:t>
            </w:r>
            <w:r w:rsidRPr="00857370">
              <w:rPr>
                <w:color w:val="000000"/>
                <w:kern w:val="2"/>
                <w:sz w:val="20"/>
                <w:highlight w:val="cyan"/>
                <w:lang w:val="en-IE" w:eastAsia="en-IE"/>
              </w:rPr>
              <w:t xml:space="preserve"> </w:t>
            </w:r>
            <w:r w:rsidRPr="00857370">
              <w:rPr>
                <w:rFonts w:eastAsia="Calibri"/>
                <w:kern w:val="2"/>
                <w:sz w:val="20"/>
                <w:szCs w:val="20"/>
                <w:highlight w:val="cyan"/>
                <w:lang w:val="en-IE" w:eastAsia="en-IE"/>
              </w:rPr>
              <w:t>scenarios</w:t>
            </w:r>
          </w:p>
        </w:tc>
      </w:tr>
      <w:tr w:rsidR="00857370" w:rsidRPr="00857370" w:rsidTr="00857370">
        <w:trPr>
          <w:trHeight w:val="964"/>
        </w:trPr>
        <w:tc>
          <w:tcPr>
            <w:tcW w:w="923"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proofErr w:type="spellStart"/>
            <w:r w:rsidRPr="00857370">
              <w:rPr>
                <w:rFonts w:eastAsia="Calibri"/>
                <w:kern w:val="2"/>
                <w:sz w:val="20"/>
                <w:szCs w:val="20"/>
                <w:highlight w:val="cyan"/>
                <w:lang w:val="en-IE" w:eastAsia="en-IE"/>
              </w:rPr>
              <w:t>Mefenpyr</w:t>
            </w:r>
            <w:proofErr w:type="spellEnd"/>
            <w:r w:rsidRPr="00857370">
              <w:rPr>
                <w:rFonts w:eastAsia="Calibri"/>
                <w:kern w:val="2"/>
                <w:sz w:val="20"/>
                <w:szCs w:val="20"/>
                <w:highlight w:val="cyan"/>
                <w:lang w:val="en-IE" w:eastAsia="en-IE"/>
              </w:rPr>
              <w:t>-diethyl</w:t>
            </w:r>
          </w:p>
        </w:tc>
        <w:tc>
          <w:tcPr>
            <w:tcW w:w="1239"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r w:rsidRPr="00857370">
              <w:rPr>
                <w:rFonts w:eastAsia="Calibri"/>
                <w:kern w:val="2"/>
                <w:sz w:val="20"/>
                <w:szCs w:val="20"/>
                <w:highlight w:val="cyan"/>
                <w:lang w:val="en-IE" w:eastAsia="en-IE"/>
              </w:rPr>
              <w:t>AE F114952</w:t>
            </w:r>
          </w:p>
        </w:tc>
        <w:tc>
          <w:tcPr>
            <w:tcW w:w="3118" w:type="dxa"/>
            <w:tcBorders>
              <w:top w:val="single" w:sz="4" w:space="0" w:color="000000"/>
              <w:left w:val="single" w:sz="4" w:space="0" w:color="000000"/>
              <w:bottom w:val="single" w:sz="4" w:space="0" w:color="000000"/>
              <w:right w:val="single" w:sz="4" w:space="0" w:color="auto"/>
            </w:tcBorders>
            <w:vAlign w:val="center"/>
            <w:hideMark/>
          </w:tcPr>
          <w:p w:rsidR="00857370" w:rsidRPr="00857370" w:rsidRDefault="00F674A2">
            <w:pPr>
              <w:jc w:val="center"/>
              <w:rPr>
                <w:rFonts w:ascii="Calibri" w:eastAsia="Calibri" w:hAnsi="Calibri"/>
                <w:b/>
                <w:bCs/>
                <w:kern w:val="2"/>
                <w:sz w:val="20"/>
                <w:szCs w:val="20"/>
                <w:highlight w:val="cyan"/>
                <w:lang w:val="en-IE" w:eastAsia="en-IE"/>
              </w:rPr>
            </w:pPr>
            <w:r w:rsidRPr="00857370">
              <w:rPr>
                <w:rFonts w:ascii="Calibri" w:eastAsia="Calibri" w:hAnsi="Calibri"/>
                <w:b/>
                <w:bCs/>
                <w:noProof/>
                <w:kern w:val="2"/>
                <w:sz w:val="20"/>
                <w:szCs w:val="20"/>
                <w:highlight w:val="cyan"/>
                <w:lang w:val="en-IE" w:eastAsia="en-IE"/>
              </w:rPr>
              <w:drawing>
                <wp:inline distT="0" distB="0" distL="0" distR="0">
                  <wp:extent cx="1574800" cy="114300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74800" cy="1143000"/>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tcPr>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 xml:space="preserve">Max </w:t>
            </w:r>
            <w:proofErr w:type="spellStart"/>
            <w:r w:rsidRPr="00857370">
              <w:rPr>
                <w:rFonts w:eastAsia="Calibri"/>
                <w:kern w:val="2"/>
                <w:sz w:val="20"/>
                <w:szCs w:val="20"/>
                <w:highlight w:val="cyan"/>
                <w:lang w:val="en-GB" w:eastAsia="en-IE"/>
              </w:rPr>
              <w:t>PEC</w:t>
            </w:r>
            <w:r w:rsidRPr="00857370">
              <w:rPr>
                <w:rFonts w:eastAsia="Calibri"/>
                <w:kern w:val="2"/>
                <w:sz w:val="20"/>
                <w:szCs w:val="20"/>
                <w:highlight w:val="cyan"/>
                <w:vertAlign w:val="subscript"/>
                <w:lang w:val="en-GB" w:eastAsia="en-IE"/>
              </w:rPr>
              <w:t>gw</w:t>
            </w:r>
            <w:proofErr w:type="spellEnd"/>
            <w:r w:rsidRPr="00857370">
              <w:rPr>
                <w:rFonts w:eastAsia="Calibri"/>
                <w:kern w:val="2"/>
                <w:sz w:val="20"/>
                <w:szCs w:val="20"/>
                <w:highlight w:val="cyan"/>
                <w:lang w:val="en-GB" w:eastAsia="en-IE"/>
              </w:rPr>
              <w:t xml:space="preserve"> </w:t>
            </w: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p>
          <w:p w:rsidR="00857370" w:rsidRPr="00857370" w:rsidRDefault="00857370">
            <w:pPr>
              <w:rPr>
                <w:rFonts w:eastAsia="Calibri"/>
                <w:kern w:val="2"/>
                <w:sz w:val="20"/>
                <w:szCs w:val="20"/>
                <w:highlight w:val="cyan"/>
                <w:lang w:val="en-GB" w:eastAsia="en-IE"/>
              </w:rPr>
            </w:pPr>
            <w:r w:rsidRPr="00857370">
              <w:rPr>
                <w:rFonts w:eastAsia="Calibri"/>
                <w:kern w:val="2"/>
                <w:sz w:val="20"/>
                <w:szCs w:val="20"/>
                <w:highlight w:val="cyan"/>
                <w:lang w:val="en-GB" w:eastAsia="en-IE"/>
              </w:rPr>
              <w:t>Based on:</w:t>
            </w:r>
          </w:p>
          <w:p w:rsidR="00857370" w:rsidRPr="00857370" w:rsidRDefault="00857370">
            <w:pPr>
              <w:rPr>
                <w:rFonts w:ascii="Calibri" w:eastAsia="Calibri" w:hAnsi="Calibri"/>
                <w:kern w:val="2"/>
                <w:sz w:val="20"/>
                <w:szCs w:val="20"/>
                <w:highlight w:val="cyan"/>
                <w:lang w:val="en-GB" w:eastAsia="en-IE"/>
              </w:rPr>
            </w:pPr>
          </w:p>
        </w:tc>
        <w:tc>
          <w:tcPr>
            <w:tcW w:w="2891" w:type="dxa"/>
            <w:tcBorders>
              <w:top w:val="single" w:sz="4" w:space="0" w:color="auto"/>
              <w:left w:val="single" w:sz="4" w:space="0" w:color="auto"/>
              <w:bottom w:val="single" w:sz="4" w:space="0" w:color="auto"/>
              <w:right w:val="single" w:sz="4" w:space="0" w:color="auto"/>
            </w:tcBorders>
            <w:hideMark/>
          </w:tcPr>
          <w:p w:rsidR="00857370" w:rsidRPr="00857370" w:rsidRDefault="00857370">
            <w:pPr>
              <w:rPr>
                <w:color w:val="000000"/>
                <w:kern w:val="2"/>
                <w:sz w:val="20"/>
                <w:highlight w:val="cyan"/>
                <w:lang w:val="en-IE" w:eastAsia="en-IE"/>
              </w:rPr>
            </w:pPr>
            <w:r w:rsidRPr="00857370">
              <w:rPr>
                <w:color w:val="000000"/>
                <w:kern w:val="2"/>
                <w:sz w:val="20"/>
                <w:highlight w:val="cyan"/>
                <w:lang w:val="en-IE" w:eastAsia="en-IE"/>
              </w:rPr>
              <w:t>&lt;0.001 µg/L</w:t>
            </w:r>
          </w:p>
          <w:p w:rsidR="00857370" w:rsidRPr="00857370" w:rsidRDefault="00857370">
            <w:pPr>
              <w:rPr>
                <w:color w:val="000000"/>
                <w:kern w:val="2"/>
                <w:sz w:val="20"/>
                <w:highlight w:val="cyan"/>
                <w:lang w:val="en-IE" w:eastAsia="en-IE"/>
              </w:rPr>
            </w:pPr>
            <w:r w:rsidRPr="00857370">
              <w:rPr>
                <w:rFonts w:eastAsia="Calibri"/>
                <w:kern w:val="2"/>
                <w:sz w:val="20"/>
                <w:szCs w:val="20"/>
                <w:highlight w:val="cyan"/>
                <w:lang w:val="en-IE" w:eastAsia="en-IE"/>
              </w:rPr>
              <w:t>all FOCUS</w:t>
            </w:r>
            <w:r w:rsidRPr="00857370">
              <w:rPr>
                <w:color w:val="000000"/>
                <w:kern w:val="2"/>
                <w:sz w:val="20"/>
                <w:highlight w:val="cyan"/>
                <w:lang w:val="en-IE" w:eastAsia="en-IE"/>
              </w:rPr>
              <w:t xml:space="preserve"> </w:t>
            </w:r>
            <w:r w:rsidRPr="00857370">
              <w:rPr>
                <w:rFonts w:eastAsia="Calibri"/>
                <w:kern w:val="2"/>
                <w:sz w:val="20"/>
                <w:szCs w:val="20"/>
                <w:highlight w:val="cyan"/>
                <w:lang w:val="en-IE" w:eastAsia="en-IE"/>
              </w:rPr>
              <w:t>scenarios</w:t>
            </w:r>
          </w:p>
        </w:tc>
      </w:tr>
      <w:tr w:rsidR="00857370" w:rsidRPr="00857370" w:rsidTr="00857370">
        <w:trPr>
          <w:trHeight w:val="964"/>
        </w:trPr>
        <w:tc>
          <w:tcPr>
            <w:tcW w:w="923"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proofErr w:type="spellStart"/>
            <w:r w:rsidRPr="00857370">
              <w:rPr>
                <w:rFonts w:eastAsia="Calibri"/>
                <w:kern w:val="2"/>
                <w:sz w:val="20"/>
                <w:szCs w:val="20"/>
                <w:highlight w:val="cyan"/>
                <w:lang w:val="en-IE" w:eastAsia="en-IE"/>
              </w:rPr>
              <w:t>Mefenpyr</w:t>
            </w:r>
            <w:proofErr w:type="spellEnd"/>
            <w:r w:rsidRPr="00857370">
              <w:rPr>
                <w:rFonts w:eastAsia="Calibri"/>
                <w:kern w:val="2"/>
                <w:sz w:val="20"/>
                <w:szCs w:val="20"/>
                <w:highlight w:val="cyan"/>
                <w:lang w:val="en-IE" w:eastAsia="en-IE"/>
              </w:rPr>
              <w:t>-diethyl</w:t>
            </w:r>
          </w:p>
        </w:tc>
        <w:tc>
          <w:tcPr>
            <w:tcW w:w="1239" w:type="dxa"/>
            <w:tcBorders>
              <w:top w:val="single" w:sz="4" w:space="0" w:color="000000"/>
              <w:left w:val="single" w:sz="4" w:space="0" w:color="000000"/>
              <w:bottom w:val="single" w:sz="4" w:space="0" w:color="auto"/>
              <w:right w:val="single" w:sz="4" w:space="0" w:color="000000"/>
            </w:tcBorders>
            <w:vAlign w:val="center"/>
            <w:hideMark/>
          </w:tcPr>
          <w:p w:rsidR="00857370" w:rsidRPr="00857370" w:rsidRDefault="00857370">
            <w:pPr>
              <w:jc w:val="center"/>
              <w:rPr>
                <w:rFonts w:eastAsia="Calibri"/>
                <w:kern w:val="2"/>
                <w:sz w:val="20"/>
                <w:szCs w:val="20"/>
                <w:highlight w:val="cyan"/>
                <w:lang w:val="en-IE" w:eastAsia="en-IE"/>
              </w:rPr>
            </w:pPr>
            <w:r w:rsidRPr="00857370">
              <w:rPr>
                <w:rFonts w:eastAsia="Calibri"/>
                <w:kern w:val="2"/>
                <w:sz w:val="20"/>
                <w:szCs w:val="20"/>
                <w:highlight w:val="cyan"/>
                <w:lang w:val="en-IE" w:eastAsia="en-IE"/>
              </w:rPr>
              <w:t>AE 2211046</w:t>
            </w:r>
          </w:p>
        </w:tc>
        <w:tc>
          <w:tcPr>
            <w:tcW w:w="3118" w:type="dxa"/>
            <w:tcBorders>
              <w:top w:val="single" w:sz="4" w:space="0" w:color="000000"/>
              <w:left w:val="single" w:sz="4" w:space="0" w:color="000000"/>
              <w:bottom w:val="single" w:sz="4" w:space="0" w:color="000000"/>
              <w:right w:val="single" w:sz="4" w:space="0" w:color="auto"/>
            </w:tcBorders>
            <w:vAlign w:val="center"/>
            <w:hideMark/>
          </w:tcPr>
          <w:p w:rsidR="00857370" w:rsidRPr="00857370" w:rsidRDefault="00F674A2">
            <w:pPr>
              <w:jc w:val="center"/>
              <w:rPr>
                <w:rFonts w:ascii="Calibri" w:eastAsia="Calibri" w:hAnsi="Calibri"/>
                <w:b/>
                <w:bCs/>
                <w:kern w:val="2"/>
                <w:sz w:val="20"/>
                <w:szCs w:val="20"/>
                <w:highlight w:val="cyan"/>
                <w:lang w:val="en-IE" w:eastAsia="en-IE"/>
              </w:rPr>
            </w:pPr>
            <w:r w:rsidRPr="00857370">
              <w:rPr>
                <w:rFonts w:ascii="Calibri" w:eastAsia="Calibri" w:hAnsi="Calibri"/>
                <w:b/>
                <w:bCs/>
                <w:noProof/>
                <w:kern w:val="2"/>
                <w:sz w:val="20"/>
                <w:szCs w:val="20"/>
                <w:highlight w:val="cyan"/>
                <w:lang w:val="en-IE" w:eastAsia="en-IE"/>
              </w:rPr>
              <w:drawing>
                <wp:inline distT="0" distB="0" distL="0" distR="0">
                  <wp:extent cx="1758950" cy="1123950"/>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58950" cy="1123950"/>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tcPr>
          <w:p w:rsidR="00857370" w:rsidRPr="00857370" w:rsidRDefault="00857370">
            <w:pPr>
              <w:rPr>
                <w:rFonts w:ascii="Calibri" w:eastAsia="Calibri" w:hAnsi="Calibri"/>
                <w:kern w:val="2"/>
                <w:sz w:val="20"/>
                <w:szCs w:val="20"/>
                <w:highlight w:val="cyan"/>
                <w:lang w:val="en-GB" w:eastAsia="en-IE"/>
              </w:rPr>
            </w:pPr>
            <w:r w:rsidRPr="00857370">
              <w:rPr>
                <w:rFonts w:ascii="Calibri" w:eastAsia="Calibri" w:hAnsi="Calibri"/>
                <w:kern w:val="2"/>
                <w:sz w:val="20"/>
                <w:szCs w:val="20"/>
                <w:highlight w:val="cyan"/>
                <w:lang w:val="en-GB" w:eastAsia="en-IE"/>
              </w:rPr>
              <w:t xml:space="preserve">Max </w:t>
            </w:r>
            <w:proofErr w:type="spellStart"/>
            <w:r w:rsidRPr="00857370">
              <w:rPr>
                <w:rFonts w:ascii="Calibri" w:eastAsia="Calibri" w:hAnsi="Calibri"/>
                <w:kern w:val="2"/>
                <w:sz w:val="20"/>
                <w:szCs w:val="20"/>
                <w:highlight w:val="cyan"/>
                <w:lang w:val="en-GB" w:eastAsia="en-IE"/>
              </w:rPr>
              <w:t>PEC</w:t>
            </w:r>
            <w:r w:rsidRPr="00857370">
              <w:rPr>
                <w:rFonts w:ascii="Calibri" w:eastAsia="Calibri" w:hAnsi="Calibri"/>
                <w:kern w:val="2"/>
                <w:sz w:val="20"/>
                <w:szCs w:val="20"/>
                <w:highlight w:val="cyan"/>
                <w:vertAlign w:val="subscript"/>
                <w:lang w:val="en-GB" w:eastAsia="en-IE"/>
              </w:rPr>
              <w:t>gw</w:t>
            </w:r>
            <w:proofErr w:type="spellEnd"/>
            <w:r w:rsidRPr="00857370">
              <w:rPr>
                <w:rFonts w:ascii="Calibri" w:eastAsia="Calibri" w:hAnsi="Calibri"/>
                <w:kern w:val="2"/>
                <w:sz w:val="20"/>
                <w:szCs w:val="20"/>
                <w:highlight w:val="cyan"/>
                <w:lang w:val="en-GB" w:eastAsia="en-IE"/>
              </w:rPr>
              <w:t xml:space="preserve"> </w:t>
            </w:r>
          </w:p>
          <w:p w:rsidR="00857370" w:rsidRPr="00857370" w:rsidRDefault="00857370">
            <w:pPr>
              <w:rPr>
                <w:rFonts w:ascii="Calibri" w:eastAsia="Calibri" w:hAnsi="Calibri"/>
                <w:kern w:val="2"/>
                <w:sz w:val="20"/>
                <w:szCs w:val="20"/>
                <w:highlight w:val="cyan"/>
                <w:lang w:val="en-GB" w:eastAsia="en-IE"/>
              </w:rPr>
            </w:pPr>
          </w:p>
          <w:p w:rsidR="00857370" w:rsidRPr="00857370" w:rsidRDefault="00857370">
            <w:pPr>
              <w:rPr>
                <w:rFonts w:ascii="Calibri" w:eastAsia="Calibri" w:hAnsi="Calibri"/>
                <w:kern w:val="2"/>
                <w:sz w:val="20"/>
                <w:szCs w:val="20"/>
                <w:highlight w:val="cyan"/>
                <w:lang w:val="en-GB" w:eastAsia="en-IE"/>
              </w:rPr>
            </w:pPr>
          </w:p>
          <w:p w:rsidR="00857370" w:rsidRPr="00857370" w:rsidRDefault="00857370">
            <w:pPr>
              <w:rPr>
                <w:rFonts w:ascii="Calibri" w:eastAsia="Calibri" w:hAnsi="Calibri"/>
                <w:kern w:val="2"/>
                <w:sz w:val="20"/>
                <w:szCs w:val="20"/>
                <w:highlight w:val="cyan"/>
                <w:lang w:val="en-GB" w:eastAsia="en-IE"/>
              </w:rPr>
            </w:pPr>
            <w:r w:rsidRPr="00857370">
              <w:rPr>
                <w:rFonts w:ascii="Calibri" w:eastAsia="Calibri" w:hAnsi="Calibri"/>
                <w:kern w:val="2"/>
                <w:sz w:val="20"/>
                <w:szCs w:val="20"/>
                <w:highlight w:val="cyan"/>
                <w:lang w:val="en-GB" w:eastAsia="en-IE"/>
              </w:rPr>
              <w:t>Based on:</w:t>
            </w:r>
          </w:p>
          <w:p w:rsidR="00857370" w:rsidRPr="00857370" w:rsidRDefault="00857370">
            <w:pPr>
              <w:rPr>
                <w:rFonts w:ascii="Calibri" w:eastAsia="Calibri" w:hAnsi="Calibri"/>
                <w:kern w:val="2"/>
                <w:sz w:val="20"/>
                <w:szCs w:val="20"/>
                <w:highlight w:val="cyan"/>
                <w:lang w:val="en-GB" w:eastAsia="en-IE"/>
              </w:rPr>
            </w:pPr>
          </w:p>
        </w:tc>
        <w:tc>
          <w:tcPr>
            <w:tcW w:w="2891" w:type="dxa"/>
            <w:tcBorders>
              <w:top w:val="single" w:sz="4" w:space="0" w:color="auto"/>
              <w:left w:val="single" w:sz="4" w:space="0" w:color="auto"/>
              <w:bottom w:val="single" w:sz="4" w:space="0" w:color="auto"/>
              <w:right w:val="single" w:sz="4" w:space="0" w:color="auto"/>
            </w:tcBorders>
            <w:hideMark/>
          </w:tcPr>
          <w:p w:rsidR="00857370" w:rsidRPr="00857370" w:rsidRDefault="00857370">
            <w:pPr>
              <w:rPr>
                <w:color w:val="000000"/>
                <w:kern w:val="2"/>
                <w:sz w:val="20"/>
                <w:highlight w:val="cyan"/>
                <w:lang w:val="en-IE" w:eastAsia="en-IE"/>
              </w:rPr>
            </w:pPr>
            <w:r w:rsidRPr="00857370">
              <w:rPr>
                <w:color w:val="000000"/>
                <w:kern w:val="2"/>
                <w:sz w:val="20"/>
                <w:highlight w:val="cyan"/>
                <w:lang w:val="en-IE" w:eastAsia="en-IE"/>
              </w:rPr>
              <w:t>&lt;0.001 µg/L</w:t>
            </w:r>
          </w:p>
          <w:p w:rsidR="00857370" w:rsidRPr="00857370" w:rsidRDefault="00857370">
            <w:pPr>
              <w:rPr>
                <w:color w:val="000000"/>
                <w:kern w:val="2"/>
                <w:sz w:val="20"/>
                <w:highlight w:val="cyan"/>
                <w:lang w:val="en-IE" w:eastAsia="en-IE"/>
              </w:rPr>
            </w:pPr>
            <w:r w:rsidRPr="00857370">
              <w:rPr>
                <w:color w:val="000000"/>
                <w:kern w:val="2"/>
                <w:sz w:val="20"/>
                <w:highlight w:val="cyan"/>
                <w:lang w:val="en-IE" w:eastAsia="en-IE"/>
              </w:rPr>
              <w:t>all FOCUS scenarios</w:t>
            </w:r>
          </w:p>
        </w:tc>
      </w:tr>
      <w:bookmarkEnd w:id="49"/>
    </w:tbl>
    <w:p w:rsidR="00857370" w:rsidRPr="00857370" w:rsidRDefault="00857370" w:rsidP="00857370">
      <w:pPr>
        <w:pStyle w:val="RepStandard"/>
        <w:spacing w:before="240"/>
        <w:rPr>
          <w:b/>
          <w:highlight w:val="cyan"/>
          <w:lang w:val="en-IE" w:eastAsia="de-DE"/>
        </w:rPr>
      </w:pPr>
    </w:p>
    <w:p w:rsidR="00857370" w:rsidRPr="00857370" w:rsidRDefault="00857370" w:rsidP="00857370">
      <w:pPr>
        <w:pStyle w:val="Nagwek2"/>
        <w:numPr>
          <w:ilvl w:val="1"/>
          <w:numId w:val="32"/>
        </w:numPr>
        <w:rPr>
          <w:highlight w:val="cyan"/>
        </w:rPr>
      </w:pPr>
      <w:bookmarkStart w:id="50" w:name="_Hlk150266948"/>
      <w:bookmarkStart w:id="51" w:name="_Toc150777368"/>
      <w:bookmarkStart w:id="52" w:name="_Hlk150267022"/>
      <w:r w:rsidRPr="00857370">
        <w:rPr>
          <w:color w:val="000000"/>
          <w:kern w:val="2"/>
          <w:highlight w:val="cyan"/>
          <w:lang w:val="en-IE" w:eastAsia="en-IE"/>
        </w:rPr>
        <w:t xml:space="preserve">Relevance assessment of </w:t>
      </w:r>
      <w:bookmarkEnd w:id="50"/>
      <w:r w:rsidRPr="00857370">
        <w:rPr>
          <w:color w:val="000000"/>
          <w:kern w:val="2"/>
          <w:highlight w:val="cyan"/>
          <w:lang w:val="en-IE" w:eastAsia="en-IE"/>
        </w:rPr>
        <w:t xml:space="preserve">AE F160459, metabolite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-methyl</w:t>
      </w:r>
      <w:bookmarkEnd w:id="51"/>
      <w:r w:rsidRPr="00857370">
        <w:rPr>
          <w:color w:val="000000"/>
          <w:kern w:val="2"/>
          <w:highlight w:val="cyan"/>
          <w:lang w:val="en-IE" w:eastAsia="en-IE"/>
        </w:rPr>
        <w:t xml:space="preserve"> </w:t>
      </w:r>
    </w:p>
    <w:p w:rsidR="00857370" w:rsidRPr="00857370" w:rsidRDefault="00857370" w:rsidP="00857370">
      <w:pPr>
        <w:spacing w:after="91" w:line="256" w:lineRule="auto"/>
        <w:ind w:left="-5" w:hanging="10"/>
        <w:rPr>
          <w:rFonts w:ascii="Calibri" w:eastAsia="Calibri" w:hAnsi="Calibri" w:cs="Calibri"/>
          <w:color w:val="000000"/>
          <w:kern w:val="2"/>
          <w:highlight w:val="cyan"/>
          <w:lang w:val="en-IE" w:eastAsia="en-IE"/>
        </w:rPr>
      </w:pPr>
      <w:bookmarkStart w:id="53" w:name="_Hlk150422520"/>
      <w:bookmarkEnd w:id="52"/>
      <w:r w:rsidRPr="00857370">
        <w:rPr>
          <w:b/>
          <w:color w:val="000000"/>
          <w:kern w:val="2"/>
          <w:highlight w:val="cyan"/>
          <w:lang w:val="en-IE" w:eastAsia="en-IE"/>
        </w:rPr>
        <w:t>Summary:</w:t>
      </w:r>
      <w:bookmarkEnd w:id="53"/>
      <w:r w:rsidRPr="00857370">
        <w:rPr>
          <w:b/>
          <w:color w:val="000000"/>
          <w:kern w:val="2"/>
          <w:highlight w:val="cyan"/>
          <w:lang w:val="en-IE" w:eastAsia="en-IE"/>
        </w:rPr>
        <w:t xml:space="preserve"> </w:t>
      </w:r>
    </w:p>
    <w:p w:rsidR="00857370" w:rsidRPr="00857370" w:rsidRDefault="00857370" w:rsidP="00857370">
      <w:pPr>
        <w:spacing w:after="10"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relevance of groundwater metabolite AE F160459 has already been assessed and accepted at EU level (see EFSA conclusion Section 4, and List of Endpoints for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Metabolite AE F160459 is </w:t>
      </w:r>
      <w:r w:rsidRPr="00857370">
        <w:rPr>
          <w:color w:val="000000"/>
          <w:kern w:val="2"/>
          <w:highlight w:val="cyan"/>
          <w:u w:val="single" w:color="000000"/>
          <w:lang w:val="en-IE" w:eastAsia="en-IE"/>
        </w:rPr>
        <w:t>not</w:t>
      </w:r>
      <w:r w:rsidRPr="00857370">
        <w:rPr>
          <w:color w:val="000000"/>
          <w:kern w:val="2"/>
          <w:highlight w:val="cyan"/>
          <w:lang w:val="en-IE" w:eastAsia="en-IE"/>
        </w:rPr>
        <w:t xml:space="preserve"> considered relevant according to the criteria laid down in the EC guidance document </w:t>
      </w:r>
      <w:r w:rsidRPr="00857370">
        <w:rPr>
          <w:highlight w:val="cyan"/>
        </w:rPr>
        <w:t>SANCO/221/2000 –rev.11. A summary of the relevance assessment is provided in</w:t>
      </w:r>
      <w:r w:rsidRPr="00857370">
        <w:rPr>
          <w:color w:val="000000"/>
          <w:kern w:val="2"/>
          <w:highlight w:val="cyan"/>
          <w:lang w:val="en-IE" w:eastAsia="en-IE"/>
        </w:rPr>
        <w:t xml:space="preserve"> Table 10.2-1.  </w:t>
      </w:r>
    </w:p>
    <w:p w:rsidR="00857370" w:rsidRPr="00857370" w:rsidRDefault="00857370" w:rsidP="00857370">
      <w:pPr>
        <w:spacing w:before="240" w:after="498" w:line="247" w:lineRule="auto"/>
        <w:ind w:left="-5" w:hanging="10"/>
        <w:rPr>
          <w:color w:val="000000"/>
          <w:kern w:val="2"/>
          <w:highlight w:val="cyan"/>
          <w:lang w:val="en-IE" w:eastAsia="en-IE"/>
        </w:rPr>
      </w:pPr>
      <w:r w:rsidRPr="00857370">
        <w:rPr>
          <w:color w:val="000000"/>
          <w:kern w:val="2"/>
          <w:highlight w:val="cyan"/>
          <w:lang w:val="en-IE" w:eastAsia="en-IE"/>
        </w:rPr>
        <w:t xml:space="preserve">This agreed assessment is also applicable for the GAP and groundwater scenarios considered in this dRR, as predicted metabolite concentrations were always &lt; 0.75 </w:t>
      </w:r>
      <w:proofErr w:type="spellStart"/>
      <w:r w:rsidRPr="00857370">
        <w:rPr>
          <w:color w:val="000000"/>
          <w:kern w:val="2"/>
          <w:highlight w:val="cyan"/>
          <w:lang w:val="en-IE" w:eastAsia="en-IE"/>
        </w:rPr>
        <w:t>μg</w:t>
      </w:r>
      <w:proofErr w:type="spellEnd"/>
      <w:r w:rsidRPr="00857370">
        <w:rPr>
          <w:color w:val="000000"/>
          <w:kern w:val="2"/>
          <w:highlight w:val="cyan"/>
          <w:lang w:val="en-IE" w:eastAsia="en-IE"/>
        </w:rPr>
        <w:t xml:space="preserve">/L.  </w:t>
      </w:r>
    </w:p>
    <w:p w:rsidR="00857370" w:rsidRPr="00857370" w:rsidRDefault="00857370" w:rsidP="00857370">
      <w:pPr>
        <w:pStyle w:val="RepLabel"/>
        <w:suppressAutoHyphens/>
        <w:ind w:left="0" w:firstLine="0"/>
        <w:rPr>
          <w:highlight w:val="cyan"/>
        </w:rPr>
      </w:pPr>
      <w:bookmarkStart w:id="54" w:name="_Ref413754706"/>
      <w:bookmarkStart w:id="55" w:name="_Hlk150332400"/>
      <w:r w:rsidRPr="00857370">
        <w:rPr>
          <w:highlight w:val="cyan"/>
        </w:rPr>
        <w:lastRenderedPageBreak/>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10.2</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1</w:t>
      </w:r>
      <w:r w:rsidRPr="00857370">
        <w:rPr>
          <w:highlight w:val="cyan"/>
        </w:rPr>
        <w:fldChar w:fldCharType="end"/>
      </w:r>
      <w:bookmarkEnd w:id="54"/>
      <w:r w:rsidRPr="00857370">
        <w:rPr>
          <w:highlight w:val="cyan"/>
        </w:rPr>
        <w:t>:</w:t>
      </w:r>
      <w:r w:rsidRPr="00857370">
        <w:rPr>
          <w:highlight w:val="cyan"/>
        </w:rPr>
        <w:tab/>
      </w:r>
      <w:r w:rsidRPr="00857370">
        <w:rPr>
          <w:bCs w:val="0"/>
          <w:highlight w:val="cyan"/>
        </w:rPr>
        <w:t xml:space="preserve">Summary of the relevance assessment for </w:t>
      </w:r>
      <w:r w:rsidRPr="00857370">
        <w:rPr>
          <w:highlight w:val="cyan"/>
        </w:rPr>
        <w:t>AE F160459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2"/>
        <w:gridCol w:w="1372"/>
        <w:gridCol w:w="1372"/>
        <w:gridCol w:w="2838"/>
        <w:gridCol w:w="2834"/>
      </w:tblGrid>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Assessment step</w:t>
            </w:r>
          </w:p>
        </w:tc>
        <w:tc>
          <w:tcPr>
            <w:tcW w:w="3034"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 xml:space="preserve">Result of assessment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Non-relevance EU-agreed?</w:t>
            </w:r>
          </w:p>
        </w:tc>
        <w:tc>
          <w:tcPr>
            <w:tcW w:w="151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Yes</w:t>
            </w:r>
          </w:p>
        </w:tc>
        <w:tc>
          <w:tcPr>
            <w:tcW w:w="1517"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 xml:space="preserve">Reference: </w:t>
            </w:r>
          </w:p>
          <w:p w:rsidR="00857370" w:rsidRPr="00857370" w:rsidRDefault="00857370">
            <w:pPr>
              <w:pStyle w:val="RepTable"/>
              <w:suppressAutoHyphens/>
              <w:rPr>
                <w:bCs/>
                <w:noProof w:val="0"/>
                <w:highlight w:val="cyan"/>
              </w:rPr>
            </w:pPr>
            <w:r w:rsidRPr="00857370">
              <w:rPr>
                <w:bCs/>
                <w:noProof w:val="0"/>
                <w:highlight w:val="cyan"/>
              </w:rPr>
              <w:t xml:space="preserve">EFSA conclusion and </w:t>
            </w:r>
            <w:proofErr w:type="spellStart"/>
            <w:r w:rsidRPr="00857370">
              <w:rPr>
                <w:bCs/>
                <w:noProof w:val="0"/>
                <w:highlight w:val="cyan"/>
              </w:rPr>
              <w:t>LoEP</w:t>
            </w:r>
            <w:proofErr w:type="spellEnd"/>
            <w:r w:rsidRPr="00857370">
              <w:rPr>
                <w:bCs/>
                <w:noProof w:val="0"/>
                <w:highlight w:val="cyan"/>
              </w:rPr>
              <w:t xml:space="preserve"> of </w:t>
            </w:r>
            <w:proofErr w:type="spellStart"/>
            <w:r w:rsidRPr="00857370">
              <w:rPr>
                <w:bCs/>
                <w:noProof w:val="0"/>
                <w:highlight w:val="cyan"/>
              </w:rPr>
              <w:t>mesosulfuron</w:t>
            </w:r>
            <w:proofErr w:type="spellEnd"/>
            <w:r w:rsidRPr="00857370">
              <w:rPr>
                <w:bCs/>
                <w:noProof w:val="0"/>
                <w:highlight w:val="cyan"/>
              </w:rPr>
              <w:t xml:space="preserve">,  </w:t>
            </w:r>
          </w:p>
          <w:p w:rsidR="00857370" w:rsidRPr="00857370" w:rsidRDefault="00857370">
            <w:pPr>
              <w:pStyle w:val="RepTable"/>
              <w:suppressAutoHyphens/>
              <w:rPr>
                <w:bCs/>
                <w:noProof w:val="0"/>
                <w:highlight w:val="cyan"/>
              </w:rPr>
            </w:pPr>
            <w:r w:rsidRPr="00857370">
              <w:rPr>
                <w:bCs/>
                <w:noProof w:val="0"/>
                <w:highlight w:val="cyan"/>
              </w:rPr>
              <w:t xml:space="preserve">EFSA Journal 2016;14(10):4584, Section 4 and Table 2;  </w:t>
            </w:r>
          </w:p>
          <w:p w:rsidR="00857370" w:rsidRPr="00857370" w:rsidRDefault="00857370">
            <w:pPr>
              <w:pStyle w:val="RepTable"/>
              <w:suppressAutoHyphens/>
              <w:rPr>
                <w:bCs/>
                <w:noProof w:val="0"/>
                <w:highlight w:val="cyan"/>
              </w:rPr>
            </w:pPr>
            <w:r w:rsidRPr="00857370">
              <w:rPr>
                <w:bCs/>
                <w:noProof w:val="0"/>
                <w:highlight w:val="cyan"/>
              </w:rPr>
              <w:t xml:space="preserve">EFSA Journal 2016;14(10):4584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STEP 1 </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Metabolite of no concern?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Quantification of groundwater contamination</w:t>
            </w:r>
          </w:p>
        </w:tc>
        <w:tc>
          <w:tcPr>
            <w:tcW w:w="1467" w:type="pct"/>
            <w:gridSpan w:val="2"/>
            <w:vMerge w:val="restar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noProof w:val="0"/>
                <w:highlight w:val="cyan"/>
              </w:rPr>
              <w:t>STEP 2</w:t>
            </w:r>
          </w:p>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Max </w:t>
            </w:r>
            <w:proofErr w:type="spellStart"/>
            <w:r w:rsidRPr="00857370">
              <w:rPr>
                <w:noProof w:val="0"/>
                <w:highlight w:val="cyan"/>
              </w:rPr>
              <w:t>PEC</w:t>
            </w:r>
            <w:r w:rsidRPr="00857370">
              <w:rPr>
                <w:noProof w:val="0"/>
                <w:highlight w:val="cyan"/>
                <w:vertAlign w:val="subscript"/>
              </w:rPr>
              <w:t>gw</w:t>
            </w:r>
            <w:proofErr w:type="spellEnd"/>
            <w:r w:rsidRPr="00857370">
              <w:rPr>
                <w:noProof w:val="0"/>
                <w:highlight w:val="cyan"/>
                <w:vertAlign w:val="subscript"/>
              </w:rPr>
              <w:t xml:space="preserve">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0.227 µg/L</w:t>
            </w:r>
          </w:p>
        </w:tc>
      </w:tr>
      <w:tr w:rsidR="00857370" w:rsidRPr="00857370" w:rsidTr="00857370">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Based on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FOCUS PEARL 5.5.5, Jokioinen</w:t>
            </w:r>
          </w:p>
          <w:p w:rsidR="00857370" w:rsidRPr="00857370" w:rsidRDefault="00857370">
            <w:pPr>
              <w:pStyle w:val="RepTable"/>
              <w:suppressAutoHyphens/>
              <w:spacing w:before="240"/>
              <w:rPr>
                <w:highlight w:val="cyan"/>
              </w:rPr>
            </w:pPr>
            <w:r w:rsidRPr="00857370">
              <w:rPr>
                <w:highlight w:val="cyan"/>
                <w:lang w:val="en-US"/>
              </w:rPr>
              <w:t>Winter cereals, End of winter to spring application</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Hazard assessment</w:t>
            </w: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3</w:t>
            </w: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1</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Biological activity comparable to the parent?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2</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Genotoxic properties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lang w:val="en-IE"/>
              </w:rPr>
              <w:t>non-genotoxic</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3</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Toxic properties of metabolite;</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Classification of parent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 classification and labelling required with respect to toxicological profile</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Classification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None</w:t>
            </w:r>
          </w:p>
        </w:tc>
      </w:tr>
      <w:tr w:rsidR="00857370" w:rsidRPr="00857370" w:rsidTr="00857370">
        <w:trPr>
          <w:trHeight w:val="879"/>
        </w:trPr>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Consumer health risk assessment</w:t>
            </w: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4</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Estimated consumer exposure via drinking water and other sources; threshold of concern approach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acceptable (&lt;0.75 µg/L)</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5</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Refined risk assessment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Predicted exposure (% of ADI)</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ADI based on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bl>
    <w:p w:rsidR="00857370" w:rsidRPr="00857370" w:rsidRDefault="00857370" w:rsidP="00857370">
      <w:pPr>
        <w:pStyle w:val="RepTableFootnote"/>
        <w:suppressAutoHyphens/>
        <w:rPr>
          <w:highlight w:val="cyan"/>
          <w:lang w:val="en-GB" w:eastAsia="de-DE"/>
        </w:rPr>
      </w:pPr>
      <w:r w:rsidRPr="00857370">
        <w:rPr>
          <w:highlight w:val="cyan"/>
          <w:lang w:val="en-GB"/>
        </w:rPr>
        <w:t>*</w:t>
      </w:r>
      <w:r w:rsidRPr="00857370">
        <w:rPr>
          <w:highlight w:val="cyan"/>
          <w:lang w:val="en-GB"/>
        </w:rPr>
        <w:tab/>
        <w:t>N/A: not applicable</w:t>
      </w:r>
    </w:p>
    <w:p w:rsidR="00857370" w:rsidRPr="00857370" w:rsidRDefault="00857370" w:rsidP="00857370">
      <w:pPr>
        <w:pStyle w:val="Nagwek3"/>
        <w:numPr>
          <w:ilvl w:val="2"/>
          <w:numId w:val="32"/>
        </w:numPr>
        <w:rPr>
          <w:highlight w:val="cyan"/>
        </w:rPr>
      </w:pPr>
      <w:bookmarkStart w:id="56" w:name="_Toc412025985"/>
      <w:bookmarkStart w:id="57" w:name="_Toc413754714"/>
      <w:bookmarkStart w:id="58" w:name="_Toc413755115"/>
      <w:bookmarkStart w:id="59" w:name="_Toc413755141"/>
      <w:bookmarkStart w:id="60" w:name="_Toc413755166"/>
      <w:bookmarkStart w:id="61" w:name="_Toc413941042"/>
      <w:bookmarkStart w:id="62" w:name="_Toc413943192"/>
      <w:bookmarkStart w:id="63" w:name="_Toc414542741"/>
      <w:bookmarkStart w:id="64" w:name="_Toc414544991"/>
      <w:bookmarkStart w:id="65" w:name="_Toc414545018"/>
      <w:bookmarkStart w:id="66" w:name="_Toc414608126"/>
      <w:bookmarkStart w:id="67" w:name="_Toc415230180"/>
      <w:bookmarkStart w:id="68" w:name="_Toc136590896"/>
      <w:bookmarkStart w:id="69" w:name="_Toc150777369"/>
      <w:bookmarkEnd w:id="55"/>
      <w:r w:rsidRPr="00857370">
        <w:rPr>
          <w:highlight w:val="cyan"/>
        </w:rPr>
        <w:t>STEP 1: Exclusion of degradation products of no concern</w:t>
      </w:r>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857370" w:rsidRPr="00857370" w:rsidRDefault="00857370" w:rsidP="00857370">
      <w:pPr>
        <w:spacing w:after="498" w:line="247" w:lineRule="auto"/>
        <w:ind w:left="-5" w:hanging="10"/>
        <w:jc w:val="both"/>
        <w:rPr>
          <w:color w:val="000000"/>
          <w:kern w:val="2"/>
          <w:highlight w:val="cyan"/>
          <w:lang w:val="en-IE" w:eastAsia="en-IE"/>
        </w:rPr>
      </w:pPr>
      <w:bookmarkStart w:id="70" w:name="_Hlk150336117"/>
      <w:r w:rsidRPr="00857370">
        <w:rPr>
          <w:color w:val="000000"/>
          <w:kern w:val="2"/>
          <w:highlight w:val="cyan"/>
          <w:lang w:val="en-IE" w:eastAsia="en-IE"/>
        </w:rPr>
        <w:t xml:space="preserve">AE F160459 </w:t>
      </w:r>
      <w:bookmarkEnd w:id="70"/>
      <w:r w:rsidRPr="00857370">
        <w:rPr>
          <w:color w:val="000000"/>
          <w:kern w:val="2"/>
          <w:highlight w:val="cyan"/>
          <w:lang w:val="en-IE" w:eastAsia="en-IE"/>
        </w:rPr>
        <w:t xml:space="preserve">does not meet the criteria for products of no concern as defined in step 1 of the guidance and therefore needs further assessment. </w:t>
      </w:r>
    </w:p>
    <w:p w:rsidR="00857370" w:rsidRPr="00857370" w:rsidRDefault="00857370" w:rsidP="00857370">
      <w:pPr>
        <w:pStyle w:val="Nagwek3"/>
        <w:numPr>
          <w:ilvl w:val="2"/>
          <w:numId w:val="32"/>
        </w:numPr>
        <w:rPr>
          <w:highlight w:val="cyan"/>
          <w:lang w:eastAsia="pl-PL"/>
        </w:rPr>
      </w:pPr>
      <w:bookmarkStart w:id="71" w:name="_Toc412025986"/>
      <w:bookmarkStart w:id="72" w:name="_Toc413754715"/>
      <w:bookmarkStart w:id="73" w:name="_Toc413755116"/>
      <w:bookmarkStart w:id="74" w:name="_Toc413755142"/>
      <w:bookmarkStart w:id="75" w:name="_Toc413755167"/>
      <w:bookmarkStart w:id="76" w:name="_Toc413941043"/>
      <w:bookmarkStart w:id="77" w:name="_Toc413943193"/>
      <w:bookmarkStart w:id="78" w:name="_Toc414542742"/>
      <w:bookmarkStart w:id="79" w:name="_Toc414544992"/>
      <w:bookmarkStart w:id="80" w:name="_Toc414545019"/>
      <w:bookmarkStart w:id="81" w:name="_Toc414608127"/>
      <w:bookmarkStart w:id="82" w:name="_Toc415230181"/>
      <w:bookmarkStart w:id="83" w:name="_Toc136590897"/>
      <w:bookmarkStart w:id="84" w:name="_Toc150777370"/>
      <w:r w:rsidRPr="00857370">
        <w:rPr>
          <w:highlight w:val="cyan"/>
        </w:rPr>
        <w:t>STEP 2: Quantification of potential groundwater contamination</w:t>
      </w:r>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857370" w:rsidRPr="00857370" w:rsidRDefault="00857370" w:rsidP="00857370">
      <w:pPr>
        <w:spacing w:line="247" w:lineRule="auto"/>
        <w:ind w:left="-5" w:hanging="10"/>
        <w:jc w:val="both"/>
        <w:rPr>
          <w:highlight w:val="cyan"/>
        </w:rPr>
      </w:pPr>
      <w:proofErr w:type="spellStart"/>
      <w:r w:rsidRPr="00857370">
        <w:rPr>
          <w:color w:val="000000"/>
          <w:kern w:val="2"/>
          <w:highlight w:val="cyan"/>
          <w:lang w:val="en-IE" w:eastAsia="en-IE"/>
        </w:rPr>
        <w:t>PEC</w:t>
      </w:r>
      <w:r w:rsidRPr="00857370">
        <w:rPr>
          <w:color w:val="000000"/>
          <w:kern w:val="2"/>
          <w:highlight w:val="cyan"/>
          <w:vertAlign w:val="subscript"/>
          <w:lang w:val="en-IE" w:eastAsia="en-IE"/>
        </w:rPr>
        <w:t>gw</w:t>
      </w:r>
      <w:proofErr w:type="spellEnd"/>
      <w:r w:rsidRPr="00857370">
        <w:rPr>
          <w:color w:val="000000"/>
          <w:kern w:val="2"/>
          <w:highlight w:val="cyan"/>
          <w:lang w:val="en-IE" w:eastAsia="en-IE"/>
        </w:rPr>
        <w:t xml:space="preserve"> calculations after leaching from soil for AE F160459 were performed, for details see Part B, Section 8, chapter 8.8. The overall maximum concentration of AE F160459 from all assessed uses and scenarios is listed in </w:t>
      </w:r>
      <w:r w:rsidRPr="00857370">
        <w:rPr>
          <w:highlight w:val="cyan"/>
        </w:rPr>
        <w:t xml:space="preserve">Table 10.2-1 above. </w:t>
      </w:r>
    </w:p>
    <w:p w:rsidR="00857370" w:rsidRPr="00857370" w:rsidRDefault="00857370" w:rsidP="00857370">
      <w:pPr>
        <w:pStyle w:val="Nagwek3"/>
        <w:numPr>
          <w:ilvl w:val="2"/>
          <w:numId w:val="32"/>
        </w:numPr>
        <w:rPr>
          <w:highlight w:val="cyan"/>
        </w:rPr>
      </w:pPr>
      <w:bookmarkStart w:id="85" w:name="_Toc412025987"/>
      <w:bookmarkStart w:id="86" w:name="_Toc413754716"/>
      <w:bookmarkStart w:id="87" w:name="_Toc413755117"/>
      <w:bookmarkStart w:id="88" w:name="_Toc413755143"/>
      <w:bookmarkStart w:id="89" w:name="_Toc413755168"/>
      <w:bookmarkStart w:id="90" w:name="_Toc413941044"/>
      <w:bookmarkStart w:id="91" w:name="_Toc413943194"/>
      <w:bookmarkStart w:id="92" w:name="_Toc414542743"/>
      <w:bookmarkStart w:id="93" w:name="_Toc414544993"/>
      <w:bookmarkStart w:id="94" w:name="_Toc414545020"/>
      <w:bookmarkStart w:id="95" w:name="_Toc414608128"/>
      <w:bookmarkStart w:id="96" w:name="_Toc415230182"/>
      <w:bookmarkStart w:id="97" w:name="_Toc136590898"/>
      <w:bookmarkStart w:id="98" w:name="_Toc150777371"/>
      <w:r w:rsidRPr="00857370">
        <w:rPr>
          <w:highlight w:val="cyan"/>
        </w:rPr>
        <w:lastRenderedPageBreak/>
        <w:t>STEP 3: Hazard assessment – identification of relevant metabolites</w:t>
      </w:r>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857370" w:rsidRPr="00857370" w:rsidRDefault="00857370" w:rsidP="00857370">
      <w:pPr>
        <w:pStyle w:val="Nagwek4"/>
        <w:numPr>
          <w:ilvl w:val="3"/>
          <w:numId w:val="32"/>
        </w:numPr>
        <w:rPr>
          <w:highlight w:val="cyan"/>
        </w:rPr>
      </w:pPr>
      <w:bookmarkStart w:id="99" w:name="_Toc413754717"/>
      <w:bookmarkStart w:id="100" w:name="_Toc413755118"/>
      <w:bookmarkStart w:id="101" w:name="_Toc413755144"/>
      <w:bookmarkStart w:id="102" w:name="_Toc413755169"/>
      <w:bookmarkStart w:id="103" w:name="_Toc413941045"/>
      <w:bookmarkStart w:id="104" w:name="_Toc413943195"/>
      <w:bookmarkStart w:id="105" w:name="_Toc414542744"/>
      <w:bookmarkStart w:id="106" w:name="_Toc414544994"/>
      <w:bookmarkStart w:id="107" w:name="_Toc414545021"/>
      <w:bookmarkStart w:id="108" w:name="_Toc414608129"/>
      <w:bookmarkStart w:id="109" w:name="_Toc415230183"/>
      <w:bookmarkStart w:id="110" w:name="_Toc136590899"/>
      <w:bookmarkStart w:id="111" w:name="_Toc150777372"/>
      <w:r w:rsidRPr="00857370">
        <w:rPr>
          <w:highlight w:val="cyan"/>
        </w:rPr>
        <w:t>STEP 3, Stage 1: screening for biological activity</w:t>
      </w:r>
      <w:bookmarkEnd w:id="99"/>
      <w:bookmarkEnd w:id="100"/>
      <w:bookmarkEnd w:id="101"/>
      <w:bookmarkEnd w:id="102"/>
      <w:bookmarkEnd w:id="103"/>
      <w:bookmarkEnd w:id="104"/>
      <w:bookmarkEnd w:id="105"/>
      <w:bookmarkEnd w:id="106"/>
      <w:bookmarkEnd w:id="107"/>
      <w:bookmarkEnd w:id="108"/>
      <w:bookmarkEnd w:id="109"/>
      <w:bookmarkEnd w:id="110"/>
      <w:bookmarkEnd w:id="111"/>
    </w:p>
    <w:p w:rsidR="00857370" w:rsidRPr="00857370" w:rsidRDefault="00857370" w:rsidP="00857370">
      <w:pPr>
        <w:spacing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Metabolite AE F160459 does not have comparable target activity as the parent active compound, as shown by biological screening data. AE F160459 is considered not relevant and is further evaluated in Stage 2.  </w:t>
      </w:r>
    </w:p>
    <w:p w:rsidR="00857370" w:rsidRPr="00857370" w:rsidRDefault="00857370" w:rsidP="00857370">
      <w:pPr>
        <w:spacing w:before="240"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biological screening on the metabolite has been considered within the EU peer review process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2.11.3.1). </w:t>
      </w:r>
    </w:p>
    <w:p w:rsidR="00857370" w:rsidRPr="00857370" w:rsidRDefault="00857370" w:rsidP="00857370">
      <w:pPr>
        <w:pStyle w:val="Nagwek4"/>
        <w:numPr>
          <w:ilvl w:val="3"/>
          <w:numId w:val="32"/>
        </w:numPr>
        <w:rPr>
          <w:highlight w:val="cyan"/>
          <w:lang w:val="de-DE" w:eastAsia="de-DE"/>
        </w:rPr>
      </w:pPr>
      <w:bookmarkStart w:id="112" w:name="_Toc413754718"/>
      <w:bookmarkStart w:id="113" w:name="_Toc413755119"/>
      <w:bookmarkStart w:id="114" w:name="_Toc413755145"/>
      <w:bookmarkStart w:id="115" w:name="_Toc413755170"/>
      <w:bookmarkStart w:id="116" w:name="_Toc413941046"/>
      <w:bookmarkStart w:id="117" w:name="_Toc413943196"/>
      <w:bookmarkStart w:id="118" w:name="_Toc414542745"/>
      <w:bookmarkStart w:id="119" w:name="_Toc414544995"/>
      <w:bookmarkStart w:id="120" w:name="_Toc414545022"/>
      <w:bookmarkStart w:id="121" w:name="_Toc414608130"/>
      <w:bookmarkStart w:id="122" w:name="_Toc415230184"/>
      <w:bookmarkStart w:id="123" w:name="_Toc136590900"/>
      <w:bookmarkStart w:id="124" w:name="_Toc150777373"/>
      <w:r w:rsidRPr="00857370">
        <w:rPr>
          <w:highlight w:val="cyan"/>
        </w:rPr>
        <w:t>STEP 3, Stage 2: screening for genotoxicity</w:t>
      </w:r>
      <w:bookmarkEnd w:id="112"/>
      <w:bookmarkEnd w:id="113"/>
      <w:bookmarkEnd w:id="114"/>
      <w:bookmarkEnd w:id="115"/>
      <w:bookmarkEnd w:id="116"/>
      <w:bookmarkEnd w:id="117"/>
      <w:bookmarkEnd w:id="118"/>
      <w:bookmarkEnd w:id="119"/>
      <w:bookmarkEnd w:id="120"/>
      <w:bookmarkEnd w:id="121"/>
      <w:bookmarkEnd w:id="122"/>
      <w:bookmarkEnd w:id="123"/>
      <w:bookmarkEnd w:id="124"/>
    </w:p>
    <w:p w:rsidR="00857370" w:rsidRPr="00857370" w:rsidRDefault="00857370" w:rsidP="00857370">
      <w:pPr>
        <w:spacing w:after="1" w:line="235"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AE F160459 was addressed for genotoxic activity by the following data package: read across from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and metabolite AE F160460 allowed to conclude that the metabolite AE F160459 is devoid of genotoxic potential (EFSA conclusion, Section 2). AE F160459 is considered not relevant and is further evaluated in Stage 3.  </w:t>
      </w:r>
    </w:p>
    <w:p w:rsidR="00857370" w:rsidRPr="00857370" w:rsidRDefault="00857370" w:rsidP="00857370">
      <w:pPr>
        <w:spacing w:before="240" w:after="1" w:line="235"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genotoxicity studies and read across argument have been evaluated within the EU peer review process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2.11.3.2). During the Pesticides Peer Review Meeting TC134 (31 May 2016), the experts agreed that no further genotoxicity testing is necessary for the metabolite AE F160459. </w:t>
      </w:r>
    </w:p>
    <w:p w:rsidR="00857370" w:rsidRPr="00857370" w:rsidRDefault="00857370" w:rsidP="00857370">
      <w:pPr>
        <w:pStyle w:val="Nagwek4"/>
        <w:numPr>
          <w:ilvl w:val="3"/>
          <w:numId w:val="32"/>
        </w:numPr>
        <w:rPr>
          <w:highlight w:val="cyan"/>
          <w:lang w:val="de-DE" w:eastAsia="de-DE"/>
        </w:rPr>
      </w:pPr>
      <w:bookmarkStart w:id="125" w:name="_Toc413754719"/>
      <w:bookmarkStart w:id="126" w:name="_Toc413755120"/>
      <w:bookmarkStart w:id="127" w:name="_Toc413755146"/>
      <w:bookmarkStart w:id="128" w:name="_Toc413755171"/>
      <w:bookmarkStart w:id="129" w:name="_Toc413941047"/>
      <w:bookmarkStart w:id="130" w:name="_Toc413943197"/>
      <w:bookmarkStart w:id="131" w:name="_Toc414542746"/>
      <w:bookmarkStart w:id="132" w:name="_Toc414544996"/>
      <w:bookmarkStart w:id="133" w:name="_Toc414545023"/>
      <w:bookmarkStart w:id="134" w:name="_Toc414608131"/>
      <w:bookmarkStart w:id="135" w:name="_Toc415230185"/>
      <w:bookmarkStart w:id="136" w:name="_Toc136590901"/>
      <w:bookmarkStart w:id="137" w:name="_Toc150777374"/>
      <w:r w:rsidRPr="00857370">
        <w:rPr>
          <w:highlight w:val="cyan"/>
        </w:rPr>
        <w:t>STEP 3, Stage 3: screening for toxicity</w:t>
      </w:r>
      <w:bookmarkEnd w:id="125"/>
      <w:bookmarkEnd w:id="126"/>
      <w:bookmarkEnd w:id="127"/>
      <w:bookmarkEnd w:id="128"/>
      <w:bookmarkEnd w:id="129"/>
      <w:bookmarkEnd w:id="130"/>
      <w:bookmarkEnd w:id="131"/>
      <w:bookmarkEnd w:id="132"/>
      <w:bookmarkEnd w:id="133"/>
      <w:bookmarkEnd w:id="134"/>
      <w:bookmarkEnd w:id="135"/>
      <w:bookmarkEnd w:id="136"/>
      <w:bookmarkEnd w:id="137"/>
    </w:p>
    <w:p w:rsidR="00857370" w:rsidRPr="00857370" w:rsidRDefault="00857370" w:rsidP="00857370">
      <w:pPr>
        <w:spacing w:after="498"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Parent compound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is not classified as toxic or very toxic and has no classification for reproductive toxicity or carcinogenic properties. Consequently, according to Guidance Document </w:t>
      </w:r>
      <w:bookmarkStart w:id="138" w:name="_Hlk150337105"/>
      <w:r w:rsidRPr="00857370">
        <w:rPr>
          <w:color w:val="000000"/>
          <w:kern w:val="2"/>
          <w:highlight w:val="cyan"/>
          <w:lang w:val="en-IE" w:eastAsia="en-IE"/>
        </w:rPr>
        <w:t>Sanco/221/2000, rev.11, 21/10/2021</w:t>
      </w:r>
      <w:bookmarkEnd w:id="138"/>
      <w:r w:rsidRPr="00857370">
        <w:rPr>
          <w:color w:val="000000"/>
          <w:kern w:val="2"/>
          <w:highlight w:val="cyan"/>
          <w:lang w:val="en-IE" w:eastAsia="en-IE"/>
        </w:rPr>
        <w:t xml:space="preserve">, further toxicity testing with the metabolites is not required based on these criteria.  </w:t>
      </w:r>
    </w:p>
    <w:p w:rsidR="00857370" w:rsidRPr="00857370" w:rsidRDefault="00857370" w:rsidP="00857370">
      <w:pPr>
        <w:pStyle w:val="Nagwek3"/>
        <w:numPr>
          <w:ilvl w:val="2"/>
          <w:numId w:val="32"/>
        </w:numPr>
        <w:rPr>
          <w:rFonts w:cs="Tahoma"/>
          <w:highlight w:val="cyan"/>
          <w:lang w:eastAsia="pl-PL"/>
        </w:rPr>
      </w:pPr>
      <w:bookmarkStart w:id="139" w:name="_Toc412025988"/>
      <w:bookmarkStart w:id="140" w:name="_Toc413754720"/>
      <w:bookmarkStart w:id="141" w:name="_Toc413755121"/>
      <w:bookmarkStart w:id="142" w:name="_Toc413755147"/>
      <w:bookmarkStart w:id="143" w:name="_Toc413755172"/>
      <w:bookmarkStart w:id="144" w:name="_Toc413941048"/>
      <w:bookmarkStart w:id="145" w:name="_Toc413943198"/>
      <w:bookmarkStart w:id="146" w:name="_Toc414542747"/>
      <w:bookmarkStart w:id="147" w:name="_Toc414544997"/>
      <w:bookmarkStart w:id="148" w:name="_Toc414545024"/>
      <w:bookmarkStart w:id="149" w:name="_Toc414608132"/>
      <w:bookmarkStart w:id="150" w:name="_Toc415230186"/>
      <w:bookmarkStart w:id="151" w:name="_Toc136590902"/>
      <w:bookmarkStart w:id="152" w:name="_Toc150777375"/>
      <w:r w:rsidRPr="00857370">
        <w:rPr>
          <w:highlight w:val="cyan"/>
        </w:rPr>
        <w:t>STEP 4: Exposure assessment – threshold of concern approach</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857370" w:rsidRPr="00857370" w:rsidRDefault="00857370" w:rsidP="00857370">
      <w:pPr>
        <w:spacing w:after="498"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metabolite AE F160459 did not reach or exceed the threshold level of 0.75μg/L. No relevant further route of consumer exposure applies for this component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2.11.4). </w:t>
      </w:r>
    </w:p>
    <w:p w:rsidR="00857370" w:rsidRPr="00857370" w:rsidRDefault="00857370" w:rsidP="00857370">
      <w:pPr>
        <w:pStyle w:val="Nagwek3"/>
        <w:numPr>
          <w:ilvl w:val="2"/>
          <w:numId w:val="32"/>
        </w:numPr>
        <w:rPr>
          <w:rFonts w:cs="Tahoma"/>
          <w:highlight w:val="cyan"/>
          <w:lang w:eastAsia="pl-PL"/>
        </w:rPr>
      </w:pPr>
      <w:bookmarkStart w:id="153" w:name="_Toc150777376"/>
      <w:r w:rsidRPr="00857370">
        <w:rPr>
          <w:highlight w:val="cyan"/>
        </w:rPr>
        <w:t>STEP 5: refined risk assessment</w:t>
      </w:r>
      <w:bookmarkEnd w:id="153"/>
    </w:p>
    <w:p w:rsidR="00857370" w:rsidRPr="00857370" w:rsidRDefault="00857370" w:rsidP="00857370">
      <w:pPr>
        <w:jc w:val="both"/>
        <w:rPr>
          <w:color w:val="000000"/>
          <w:kern w:val="2"/>
          <w:highlight w:val="cyan"/>
          <w:lang w:val="en-IE" w:eastAsia="en-IE"/>
        </w:rPr>
      </w:pPr>
      <w:r w:rsidRPr="00857370">
        <w:rPr>
          <w:color w:val="000000"/>
          <w:kern w:val="2"/>
          <w:highlight w:val="cyan"/>
          <w:lang w:val="en-IE" w:eastAsia="en-IE"/>
        </w:rPr>
        <w:t xml:space="preserve">As metabolite AE F160459 does not reach or exceed the threshold level of 0.75 </w:t>
      </w:r>
      <w:proofErr w:type="spellStart"/>
      <w:r w:rsidRPr="00857370">
        <w:rPr>
          <w:color w:val="000000"/>
          <w:kern w:val="2"/>
          <w:highlight w:val="cyan"/>
          <w:lang w:val="en-IE" w:eastAsia="en-IE"/>
        </w:rPr>
        <w:t>μg</w:t>
      </w:r>
      <w:proofErr w:type="spellEnd"/>
      <w:r w:rsidRPr="00857370">
        <w:rPr>
          <w:color w:val="000000"/>
          <w:kern w:val="2"/>
          <w:highlight w:val="cyan"/>
          <w:lang w:val="en-IE" w:eastAsia="en-IE"/>
        </w:rPr>
        <w:t xml:space="preserve">/L, a refined risk assessment is not necessary for this component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2.11.5). </w:t>
      </w:r>
    </w:p>
    <w:p w:rsidR="00857370" w:rsidRPr="00857370" w:rsidRDefault="00857370" w:rsidP="00857370">
      <w:pPr>
        <w:pStyle w:val="Nagwek2"/>
        <w:numPr>
          <w:ilvl w:val="1"/>
          <w:numId w:val="32"/>
        </w:numPr>
        <w:rPr>
          <w:highlight w:val="cyan"/>
          <w:lang w:eastAsia="en-IE"/>
        </w:rPr>
      </w:pPr>
      <w:bookmarkStart w:id="154" w:name="_Toc150777377"/>
      <w:r w:rsidRPr="00857370">
        <w:rPr>
          <w:color w:val="000000"/>
          <w:kern w:val="2"/>
          <w:highlight w:val="cyan"/>
          <w:lang w:val="en-IE" w:eastAsia="en-IE"/>
        </w:rPr>
        <w:t xml:space="preserve">Relevance assessment of </w:t>
      </w:r>
      <w:bookmarkStart w:id="155" w:name="_Hlk150332417"/>
      <w:r w:rsidRPr="00857370">
        <w:rPr>
          <w:color w:val="000000"/>
          <w:kern w:val="2"/>
          <w:highlight w:val="cyan"/>
          <w:lang w:val="en-IE" w:eastAsia="en-IE"/>
        </w:rPr>
        <w:t>AE F160460</w:t>
      </w:r>
      <w:bookmarkEnd w:id="155"/>
      <w:r w:rsidRPr="00857370">
        <w:rPr>
          <w:color w:val="000000"/>
          <w:kern w:val="2"/>
          <w:highlight w:val="cyan"/>
          <w:lang w:val="en-IE" w:eastAsia="en-IE"/>
        </w:rPr>
        <w:t xml:space="preserve">, metabolite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-methyl</w:t>
      </w:r>
      <w:bookmarkEnd w:id="154"/>
      <w:r w:rsidRPr="00857370">
        <w:rPr>
          <w:color w:val="000000"/>
          <w:kern w:val="2"/>
          <w:highlight w:val="cyan"/>
          <w:lang w:val="en-IE" w:eastAsia="en-IE"/>
        </w:rPr>
        <w:t xml:space="preserve"> </w:t>
      </w:r>
    </w:p>
    <w:p w:rsidR="00857370" w:rsidRPr="00857370" w:rsidRDefault="00857370" w:rsidP="00857370">
      <w:pPr>
        <w:jc w:val="both"/>
        <w:rPr>
          <w:b/>
          <w:color w:val="000000"/>
          <w:kern w:val="2"/>
          <w:highlight w:val="cyan"/>
          <w:lang w:val="en-IE" w:eastAsia="en-IE"/>
        </w:rPr>
      </w:pPr>
      <w:r w:rsidRPr="00857370">
        <w:rPr>
          <w:b/>
          <w:color w:val="000000"/>
          <w:kern w:val="2"/>
          <w:highlight w:val="cyan"/>
          <w:lang w:val="en-IE" w:eastAsia="en-IE"/>
        </w:rPr>
        <w:t>Summary:</w:t>
      </w:r>
    </w:p>
    <w:p w:rsidR="00857370" w:rsidRPr="00857370" w:rsidRDefault="00857370" w:rsidP="00857370">
      <w:pPr>
        <w:spacing w:before="240"/>
        <w:jc w:val="both"/>
        <w:rPr>
          <w:color w:val="000000"/>
          <w:kern w:val="2"/>
          <w:highlight w:val="cyan"/>
          <w:lang w:val="en-IE" w:eastAsia="en-IE"/>
        </w:rPr>
      </w:pPr>
      <w:r w:rsidRPr="00857370">
        <w:rPr>
          <w:color w:val="000000"/>
          <w:kern w:val="2"/>
          <w:highlight w:val="cyan"/>
          <w:lang w:val="en-IE" w:eastAsia="en-IE"/>
        </w:rPr>
        <w:t xml:space="preserve">The relevance of groundwater metabolite AE F160460 has already been assessed and accepted at EU level (see EFSA conclusion Section 4, and List of Endpoints for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Metabolite AE F160460 </w:t>
      </w:r>
      <w:r w:rsidRPr="00857370">
        <w:rPr>
          <w:color w:val="000000"/>
          <w:kern w:val="2"/>
          <w:highlight w:val="cyan"/>
          <w:lang w:val="en-IE" w:eastAsia="en-IE"/>
        </w:rPr>
        <w:lastRenderedPageBreak/>
        <w:t xml:space="preserve">is </w:t>
      </w:r>
      <w:r w:rsidRPr="00857370">
        <w:rPr>
          <w:color w:val="000000"/>
          <w:kern w:val="2"/>
          <w:highlight w:val="cyan"/>
          <w:u w:val="single" w:color="000000"/>
          <w:lang w:val="en-IE" w:eastAsia="en-IE"/>
        </w:rPr>
        <w:t>not</w:t>
      </w:r>
      <w:r w:rsidRPr="00857370">
        <w:rPr>
          <w:color w:val="000000"/>
          <w:kern w:val="2"/>
          <w:highlight w:val="cyan"/>
          <w:lang w:val="en-IE" w:eastAsia="en-IE"/>
        </w:rPr>
        <w:t xml:space="preserve"> considered relevant according to the criteria laid down in the EC guidance document SANCO/221/2000 –rev.11. A summary of the relevance assessment is provided in Table 10.3-1.</w:t>
      </w:r>
    </w:p>
    <w:p w:rsidR="00857370" w:rsidRPr="00857370" w:rsidRDefault="00857370" w:rsidP="00857370">
      <w:pPr>
        <w:spacing w:before="240"/>
        <w:jc w:val="both"/>
        <w:rPr>
          <w:b/>
          <w:color w:val="000000"/>
          <w:kern w:val="2"/>
          <w:sz w:val="24"/>
          <w:highlight w:val="cyan"/>
          <w:lang w:val="en-IE" w:eastAsia="en-IE"/>
        </w:rPr>
      </w:pPr>
      <w:r w:rsidRPr="00857370">
        <w:rPr>
          <w:color w:val="000000"/>
          <w:kern w:val="2"/>
          <w:highlight w:val="cyan"/>
          <w:lang w:val="en-IE" w:eastAsia="en-IE"/>
        </w:rPr>
        <w:t xml:space="preserve">This agreed assessment is also applicable for the GAP and groundwater scenarios considered in this dRR, as predicted metabolite concentrations were always &lt; 0.75 </w:t>
      </w:r>
      <w:proofErr w:type="spellStart"/>
      <w:r w:rsidRPr="00857370">
        <w:rPr>
          <w:color w:val="000000"/>
          <w:kern w:val="2"/>
          <w:highlight w:val="cyan"/>
          <w:lang w:val="en-IE" w:eastAsia="en-IE"/>
        </w:rPr>
        <w:t>μg</w:t>
      </w:r>
      <w:proofErr w:type="spellEnd"/>
      <w:r w:rsidRPr="00857370">
        <w:rPr>
          <w:color w:val="000000"/>
          <w:kern w:val="2"/>
          <w:highlight w:val="cyan"/>
          <w:lang w:val="en-IE" w:eastAsia="en-IE"/>
        </w:rPr>
        <w:t xml:space="preserve">/L.  </w:t>
      </w:r>
    </w:p>
    <w:p w:rsidR="00857370" w:rsidRPr="00857370" w:rsidRDefault="00857370" w:rsidP="00857370">
      <w:pPr>
        <w:rPr>
          <w:rFonts w:eastAsia="Calibri"/>
          <w:highlight w:val="cyan"/>
        </w:rPr>
      </w:pPr>
    </w:p>
    <w:p w:rsidR="00857370" w:rsidRPr="00857370" w:rsidRDefault="00857370" w:rsidP="00857370">
      <w:pPr>
        <w:pStyle w:val="RepLabel"/>
        <w:suppressAutoHyphens/>
        <w:ind w:left="0" w:firstLine="0"/>
        <w:rPr>
          <w:highlight w:val="cyan"/>
        </w:rPr>
      </w:pPr>
      <w:r w:rsidRPr="00857370">
        <w:rPr>
          <w:highlight w:val="cyan"/>
        </w:rPr>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10.3</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1</w:t>
      </w:r>
      <w:r w:rsidRPr="00857370">
        <w:rPr>
          <w:highlight w:val="cyan"/>
        </w:rPr>
        <w:fldChar w:fldCharType="end"/>
      </w:r>
      <w:r w:rsidRPr="00857370">
        <w:rPr>
          <w:highlight w:val="cyan"/>
        </w:rPr>
        <w:t>:</w:t>
      </w:r>
      <w:r w:rsidRPr="00857370">
        <w:rPr>
          <w:highlight w:val="cyan"/>
        </w:rPr>
        <w:tab/>
      </w:r>
      <w:r w:rsidRPr="00857370">
        <w:rPr>
          <w:bCs w:val="0"/>
          <w:highlight w:val="cyan"/>
        </w:rPr>
        <w:t xml:space="preserve">Summary of the relevance assessment for </w:t>
      </w:r>
      <w:r w:rsidRPr="00857370">
        <w:rPr>
          <w:highlight w:val="cyan"/>
          <w:lang w:val="en-IE"/>
        </w:rPr>
        <w:t>AE F160460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2"/>
        <w:gridCol w:w="1372"/>
        <w:gridCol w:w="1372"/>
        <w:gridCol w:w="2838"/>
        <w:gridCol w:w="2834"/>
      </w:tblGrid>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Assessment step</w:t>
            </w:r>
          </w:p>
        </w:tc>
        <w:tc>
          <w:tcPr>
            <w:tcW w:w="3034"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 xml:space="preserve">Result of assessment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Non-relevance EU-agreed?</w:t>
            </w:r>
          </w:p>
        </w:tc>
        <w:tc>
          <w:tcPr>
            <w:tcW w:w="1518"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Yes</w:t>
            </w:r>
          </w:p>
        </w:tc>
        <w:tc>
          <w:tcPr>
            <w:tcW w:w="1516"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 xml:space="preserve">Reference: </w:t>
            </w:r>
          </w:p>
          <w:p w:rsidR="00857370" w:rsidRPr="00857370" w:rsidRDefault="00857370">
            <w:pPr>
              <w:pStyle w:val="RepTable"/>
              <w:suppressAutoHyphens/>
              <w:rPr>
                <w:bCs/>
                <w:noProof w:val="0"/>
                <w:highlight w:val="cyan"/>
              </w:rPr>
            </w:pPr>
            <w:r w:rsidRPr="00857370">
              <w:rPr>
                <w:bCs/>
                <w:noProof w:val="0"/>
                <w:highlight w:val="cyan"/>
              </w:rPr>
              <w:t xml:space="preserve">EFSA conclusion and </w:t>
            </w:r>
            <w:proofErr w:type="spellStart"/>
            <w:r w:rsidRPr="00857370">
              <w:rPr>
                <w:bCs/>
                <w:noProof w:val="0"/>
                <w:highlight w:val="cyan"/>
              </w:rPr>
              <w:t>LoEP</w:t>
            </w:r>
            <w:proofErr w:type="spellEnd"/>
            <w:r w:rsidRPr="00857370">
              <w:rPr>
                <w:bCs/>
                <w:noProof w:val="0"/>
                <w:highlight w:val="cyan"/>
              </w:rPr>
              <w:t xml:space="preserve"> of </w:t>
            </w:r>
            <w:proofErr w:type="spellStart"/>
            <w:r w:rsidRPr="00857370">
              <w:rPr>
                <w:bCs/>
                <w:noProof w:val="0"/>
                <w:highlight w:val="cyan"/>
              </w:rPr>
              <w:t>mesosulfuron</w:t>
            </w:r>
            <w:proofErr w:type="spellEnd"/>
            <w:r w:rsidRPr="00857370">
              <w:rPr>
                <w:bCs/>
                <w:noProof w:val="0"/>
                <w:highlight w:val="cyan"/>
              </w:rPr>
              <w:t xml:space="preserve">,  </w:t>
            </w:r>
          </w:p>
          <w:p w:rsidR="00857370" w:rsidRPr="00857370" w:rsidRDefault="00857370">
            <w:pPr>
              <w:pStyle w:val="RepTable"/>
              <w:suppressAutoHyphens/>
              <w:rPr>
                <w:bCs/>
                <w:noProof w:val="0"/>
                <w:highlight w:val="cyan"/>
              </w:rPr>
            </w:pPr>
            <w:r w:rsidRPr="00857370">
              <w:rPr>
                <w:bCs/>
                <w:noProof w:val="0"/>
                <w:highlight w:val="cyan"/>
              </w:rPr>
              <w:t xml:space="preserve">EFSA Journal 2016;14(10):4584, Section 4 and Table 2;  </w:t>
            </w:r>
          </w:p>
          <w:p w:rsidR="00857370" w:rsidRPr="00857370" w:rsidRDefault="00857370">
            <w:pPr>
              <w:pStyle w:val="RepTable"/>
              <w:suppressAutoHyphens/>
              <w:rPr>
                <w:bCs/>
                <w:noProof w:val="0"/>
                <w:highlight w:val="cyan"/>
              </w:rPr>
            </w:pPr>
            <w:r w:rsidRPr="00857370">
              <w:rPr>
                <w:bCs/>
                <w:noProof w:val="0"/>
                <w:highlight w:val="cyan"/>
              </w:rPr>
              <w:t xml:space="preserve">EFSA Journal 2016;14(10):4584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STEP 1 </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Metabolite of no concern?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Quantification of groundwater contamination</w:t>
            </w:r>
          </w:p>
        </w:tc>
        <w:tc>
          <w:tcPr>
            <w:tcW w:w="1467" w:type="pct"/>
            <w:gridSpan w:val="2"/>
            <w:vMerge w:val="restar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noProof w:val="0"/>
                <w:highlight w:val="cyan"/>
              </w:rPr>
              <w:t>STEP 2</w:t>
            </w:r>
          </w:p>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Max </w:t>
            </w:r>
            <w:proofErr w:type="spellStart"/>
            <w:r w:rsidRPr="00857370">
              <w:rPr>
                <w:noProof w:val="0"/>
                <w:highlight w:val="cyan"/>
              </w:rPr>
              <w:t>PEC</w:t>
            </w:r>
            <w:r w:rsidRPr="00857370">
              <w:rPr>
                <w:noProof w:val="0"/>
                <w:highlight w:val="cyan"/>
                <w:vertAlign w:val="subscript"/>
              </w:rPr>
              <w:t>gw</w:t>
            </w:r>
            <w:proofErr w:type="spellEnd"/>
            <w:r w:rsidRPr="00857370">
              <w:rPr>
                <w:noProof w:val="0"/>
                <w:highlight w:val="cyan"/>
                <w:vertAlign w:val="subscript"/>
              </w:rPr>
              <w:t xml:space="preserve">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widowControl w:val="0"/>
              <w:suppressAutoHyphens/>
              <w:rPr>
                <w:rFonts w:eastAsia="Calibri"/>
                <w:noProof/>
                <w:sz w:val="20"/>
                <w:szCs w:val="20"/>
                <w:highlight w:val="cyan"/>
                <w:lang w:val="en-GB" w:eastAsia="en-US"/>
              </w:rPr>
            </w:pPr>
            <w:r w:rsidRPr="00857370">
              <w:rPr>
                <w:rFonts w:eastAsia="Calibri"/>
                <w:noProof/>
                <w:sz w:val="20"/>
                <w:szCs w:val="20"/>
                <w:highlight w:val="cyan"/>
                <w:lang w:val="en-GB" w:eastAsia="en-US"/>
              </w:rPr>
              <w:t>0.312 µg/L</w:t>
            </w:r>
          </w:p>
        </w:tc>
      </w:tr>
      <w:tr w:rsidR="00857370" w:rsidRPr="00857370" w:rsidTr="00857370">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Based on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widowControl w:val="0"/>
              <w:suppressAutoHyphens/>
              <w:rPr>
                <w:rFonts w:eastAsia="Calibri"/>
                <w:noProof/>
                <w:sz w:val="20"/>
                <w:szCs w:val="20"/>
                <w:highlight w:val="cyan"/>
                <w:lang w:val="en-GB" w:eastAsia="en-US"/>
              </w:rPr>
            </w:pPr>
            <w:r w:rsidRPr="00857370">
              <w:rPr>
                <w:rFonts w:eastAsia="Calibri"/>
                <w:noProof/>
                <w:sz w:val="20"/>
                <w:szCs w:val="20"/>
                <w:highlight w:val="cyan"/>
                <w:lang w:val="en-GB" w:eastAsia="en-US"/>
              </w:rPr>
              <w:t>FOCUS PEARL 5.5.5, Hamburg</w:t>
            </w:r>
          </w:p>
          <w:p w:rsidR="00857370" w:rsidRPr="00857370" w:rsidRDefault="00857370">
            <w:pPr>
              <w:widowControl w:val="0"/>
              <w:suppressAutoHyphens/>
              <w:spacing w:before="240"/>
              <w:rPr>
                <w:rFonts w:eastAsia="Calibri"/>
                <w:noProof/>
                <w:sz w:val="20"/>
                <w:szCs w:val="20"/>
                <w:highlight w:val="cyan"/>
                <w:lang w:val="en-GB" w:eastAsia="en-US"/>
              </w:rPr>
            </w:pPr>
            <w:r w:rsidRPr="00857370">
              <w:rPr>
                <w:sz w:val="20"/>
                <w:szCs w:val="20"/>
                <w:highlight w:val="cyan"/>
              </w:rPr>
              <w:t>Winter cereals, End of winter to spring application</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Hazard assessment</w:t>
            </w: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3</w:t>
            </w: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1</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Biological activity comparable to the parent?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2</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Genotoxic properties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non-genotoxic</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3</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Toxic properties of metabolite;</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Classification of parent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 classification and labelling required with respect to toxicological profile</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Classification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None</w:t>
            </w:r>
          </w:p>
        </w:tc>
      </w:tr>
      <w:tr w:rsidR="00857370" w:rsidRPr="00857370" w:rsidTr="00857370">
        <w:trPr>
          <w:trHeight w:val="879"/>
        </w:trPr>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Consumer health risk assessment</w:t>
            </w: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4</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Estimated consumer exposure via drinking water and other sources; threshold of concern approach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Acceptable (&lt;0.75 ug/L)</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5</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Refined risk assessment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Predicted exposure (% of ADI)</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ADI based on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bl>
    <w:p w:rsidR="00857370" w:rsidRPr="00857370" w:rsidRDefault="00857370" w:rsidP="00857370">
      <w:pPr>
        <w:pStyle w:val="RepTableFootnote"/>
        <w:suppressAutoHyphens/>
        <w:rPr>
          <w:highlight w:val="cyan"/>
          <w:lang w:val="en-GB" w:eastAsia="de-DE"/>
        </w:rPr>
      </w:pPr>
      <w:r w:rsidRPr="00857370">
        <w:rPr>
          <w:highlight w:val="cyan"/>
          <w:lang w:val="en-GB"/>
        </w:rPr>
        <w:t>*</w:t>
      </w:r>
      <w:r w:rsidRPr="00857370">
        <w:rPr>
          <w:highlight w:val="cyan"/>
          <w:lang w:val="en-GB"/>
        </w:rPr>
        <w:tab/>
        <w:t>N/A: not applicable</w:t>
      </w:r>
    </w:p>
    <w:p w:rsidR="00857370" w:rsidRPr="00857370" w:rsidRDefault="00857370" w:rsidP="00857370">
      <w:pPr>
        <w:spacing w:line="247" w:lineRule="auto"/>
        <w:ind w:left="-5" w:hanging="10"/>
        <w:jc w:val="both"/>
        <w:rPr>
          <w:rFonts w:ascii="Calibri" w:eastAsia="Calibri" w:hAnsi="Calibri" w:cs="Calibri"/>
          <w:color w:val="000000"/>
          <w:kern w:val="2"/>
          <w:highlight w:val="cyan"/>
          <w:lang w:val="en-IE" w:eastAsia="en-IE"/>
        </w:rPr>
      </w:pPr>
    </w:p>
    <w:p w:rsidR="00857370" w:rsidRPr="00857370" w:rsidRDefault="00857370" w:rsidP="00857370">
      <w:pPr>
        <w:pStyle w:val="Nagwek3"/>
        <w:numPr>
          <w:ilvl w:val="2"/>
          <w:numId w:val="32"/>
        </w:numPr>
        <w:rPr>
          <w:rFonts w:cs="Tahoma"/>
          <w:highlight w:val="cyan"/>
          <w:lang w:eastAsia="pl-PL"/>
        </w:rPr>
      </w:pPr>
      <w:bookmarkStart w:id="156" w:name="_Toc136590904"/>
      <w:bookmarkStart w:id="157" w:name="_Toc150777378"/>
      <w:r w:rsidRPr="00857370">
        <w:rPr>
          <w:highlight w:val="cyan"/>
        </w:rPr>
        <w:t>STEP 1: Exclusion of degradation products of no concern</w:t>
      </w:r>
      <w:bookmarkEnd w:id="156"/>
      <w:bookmarkEnd w:id="157"/>
    </w:p>
    <w:p w:rsidR="00857370" w:rsidRPr="00857370" w:rsidRDefault="00857370" w:rsidP="00857370">
      <w:pPr>
        <w:pStyle w:val="RepStandard"/>
        <w:suppressAutoHyphens/>
        <w:spacing w:after="240"/>
        <w:rPr>
          <w:highlight w:val="cyan"/>
        </w:rPr>
      </w:pPr>
      <w:r w:rsidRPr="00857370">
        <w:rPr>
          <w:highlight w:val="cyan"/>
        </w:rPr>
        <w:t>AE F160460 does not meet the criteria for products of no concern as defined in step 1 of the guidance and therefore need further assessment.</w:t>
      </w:r>
    </w:p>
    <w:p w:rsidR="00857370" w:rsidRPr="00857370" w:rsidRDefault="00857370" w:rsidP="00857370">
      <w:pPr>
        <w:pStyle w:val="Nagwek3"/>
        <w:numPr>
          <w:ilvl w:val="2"/>
          <w:numId w:val="32"/>
        </w:numPr>
        <w:rPr>
          <w:highlight w:val="cyan"/>
        </w:rPr>
      </w:pPr>
      <w:bookmarkStart w:id="158" w:name="_Toc136590905"/>
      <w:bookmarkStart w:id="159" w:name="_Toc150777379"/>
      <w:r w:rsidRPr="00857370">
        <w:rPr>
          <w:highlight w:val="cyan"/>
        </w:rPr>
        <w:lastRenderedPageBreak/>
        <w:t>STEP 2: Quantification of potential groundwater contamination</w:t>
      </w:r>
      <w:bookmarkEnd w:id="158"/>
      <w:bookmarkEnd w:id="159"/>
    </w:p>
    <w:p w:rsidR="00857370" w:rsidRPr="00857370" w:rsidRDefault="00857370" w:rsidP="00857370">
      <w:pPr>
        <w:spacing w:after="498" w:line="247" w:lineRule="auto"/>
        <w:ind w:left="-5" w:hanging="10"/>
        <w:jc w:val="both"/>
        <w:rPr>
          <w:highlight w:val="cyan"/>
        </w:rPr>
      </w:pPr>
      <w:proofErr w:type="spellStart"/>
      <w:r w:rsidRPr="00857370">
        <w:rPr>
          <w:highlight w:val="cyan"/>
        </w:rPr>
        <w:t>PEC</w:t>
      </w:r>
      <w:r w:rsidRPr="00857370">
        <w:rPr>
          <w:highlight w:val="cyan"/>
          <w:vertAlign w:val="subscript"/>
        </w:rPr>
        <w:t>gw</w:t>
      </w:r>
      <w:proofErr w:type="spellEnd"/>
      <w:r w:rsidRPr="00857370">
        <w:rPr>
          <w:highlight w:val="cyan"/>
        </w:rPr>
        <w:t xml:space="preserve"> calculations after leaching from soil for AE F160460 were performed, for details see Part B, Section 8, chapter 8.8. The overall maximum concentration of AE F160460 from all assessed uses and scenarios is listed in Table 10.3-1.  </w:t>
      </w:r>
    </w:p>
    <w:p w:rsidR="00857370" w:rsidRPr="00857370" w:rsidRDefault="00857370" w:rsidP="00857370">
      <w:pPr>
        <w:pStyle w:val="Nagwek3"/>
        <w:numPr>
          <w:ilvl w:val="2"/>
          <w:numId w:val="32"/>
        </w:numPr>
        <w:rPr>
          <w:highlight w:val="cyan"/>
        </w:rPr>
      </w:pPr>
      <w:bookmarkStart w:id="160" w:name="_Toc136590906"/>
      <w:bookmarkStart w:id="161" w:name="_Toc150777380"/>
      <w:r w:rsidRPr="00857370">
        <w:rPr>
          <w:highlight w:val="cyan"/>
        </w:rPr>
        <w:t>STEP 3: Hazard assessment – identification of relevant metabolites</w:t>
      </w:r>
      <w:bookmarkEnd w:id="160"/>
      <w:bookmarkEnd w:id="161"/>
    </w:p>
    <w:p w:rsidR="00857370" w:rsidRPr="00857370" w:rsidRDefault="00857370" w:rsidP="00857370">
      <w:pPr>
        <w:numPr>
          <w:ilvl w:val="3"/>
          <w:numId w:val="32"/>
        </w:numPr>
        <w:spacing w:after="498" w:line="247" w:lineRule="auto"/>
        <w:rPr>
          <w:b/>
          <w:highlight w:val="cyan"/>
          <w:lang w:val="en-GB"/>
        </w:rPr>
      </w:pPr>
      <w:bookmarkStart w:id="162" w:name="_Toc136590907"/>
      <w:r w:rsidRPr="00857370">
        <w:rPr>
          <w:b/>
          <w:highlight w:val="cyan"/>
          <w:lang w:val="en-GB"/>
        </w:rPr>
        <w:t>STEP 3, Stage 1: screening for biological activity</w:t>
      </w:r>
      <w:bookmarkEnd w:id="162"/>
    </w:p>
    <w:p w:rsidR="00857370" w:rsidRPr="00857370" w:rsidRDefault="00857370" w:rsidP="00857370">
      <w:pPr>
        <w:spacing w:line="247" w:lineRule="auto"/>
        <w:ind w:left="-5" w:hanging="10"/>
        <w:jc w:val="both"/>
        <w:rPr>
          <w:highlight w:val="cyan"/>
        </w:rPr>
      </w:pPr>
      <w:r w:rsidRPr="00857370">
        <w:rPr>
          <w:highlight w:val="cyan"/>
        </w:rPr>
        <w:t xml:space="preserve">Metabolite AE F160460 does not have comparable target activity as the parent active compound, as shown by biological screening data. AE F160460 is considered not relevant and is further evaluated in Stage 2.  </w:t>
      </w:r>
    </w:p>
    <w:p w:rsidR="00857370" w:rsidRPr="00857370" w:rsidRDefault="00857370" w:rsidP="00857370">
      <w:pPr>
        <w:spacing w:before="240" w:line="247" w:lineRule="auto"/>
        <w:ind w:left="-5" w:hanging="10"/>
        <w:jc w:val="both"/>
        <w:rPr>
          <w:highlight w:val="cyan"/>
        </w:rPr>
      </w:pPr>
      <w:r w:rsidRPr="00857370">
        <w:rPr>
          <w:highlight w:val="cyan"/>
        </w:rPr>
        <w:t xml:space="preserve">The biological screening on the metabolite has been considered within the EU peer review process (cf. RAR of </w:t>
      </w:r>
      <w:proofErr w:type="spellStart"/>
      <w:r w:rsidRPr="00857370">
        <w:rPr>
          <w:highlight w:val="cyan"/>
        </w:rPr>
        <w:t>mesosulfuron</w:t>
      </w:r>
      <w:proofErr w:type="spellEnd"/>
      <w:r w:rsidRPr="00857370">
        <w:rPr>
          <w:highlight w:val="cyan"/>
        </w:rPr>
        <w:t xml:space="preserve">-methyl Vol.1, Level 2, Section 2.11.3.1). </w:t>
      </w:r>
    </w:p>
    <w:p w:rsidR="00857370" w:rsidRPr="00857370" w:rsidRDefault="00857370" w:rsidP="00857370">
      <w:pPr>
        <w:pStyle w:val="Nagwek4"/>
        <w:numPr>
          <w:ilvl w:val="3"/>
          <w:numId w:val="32"/>
        </w:numPr>
        <w:rPr>
          <w:highlight w:val="cyan"/>
        </w:rPr>
      </w:pPr>
      <w:bookmarkStart w:id="163" w:name="_Toc136590908"/>
      <w:bookmarkStart w:id="164" w:name="_Toc150777381"/>
      <w:r w:rsidRPr="00857370">
        <w:rPr>
          <w:highlight w:val="cyan"/>
        </w:rPr>
        <w:t>STEP 3, Stage 2: screening for genotoxicity</w:t>
      </w:r>
      <w:bookmarkEnd w:id="163"/>
      <w:bookmarkEnd w:id="164"/>
    </w:p>
    <w:p w:rsidR="00857370" w:rsidRPr="00857370" w:rsidRDefault="00857370" w:rsidP="00857370">
      <w:pPr>
        <w:spacing w:after="1" w:line="235" w:lineRule="auto"/>
        <w:ind w:left="-5" w:hanging="10"/>
        <w:jc w:val="both"/>
        <w:rPr>
          <w:highlight w:val="cyan"/>
        </w:rPr>
      </w:pPr>
      <w:r w:rsidRPr="00857370">
        <w:rPr>
          <w:highlight w:val="cyan"/>
        </w:rPr>
        <w:t xml:space="preserve">AE F160460 was addressed for genotoxic activity by the following data package of </w:t>
      </w:r>
      <w:r w:rsidRPr="00857370">
        <w:rPr>
          <w:i/>
          <w:highlight w:val="cyan"/>
        </w:rPr>
        <w:t>in vitro</w:t>
      </w:r>
      <w:r w:rsidRPr="00857370">
        <w:rPr>
          <w:highlight w:val="cyan"/>
        </w:rPr>
        <w:t xml:space="preserve"> genotoxicity studies: Ames Test on </w:t>
      </w:r>
      <w:r w:rsidRPr="00857370">
        <w:rPr>
          <w:i/>
          <w:iCs/>
          <w:highlight w:val="cyan"/>
        </w:rPr>
        <w:t>Salmonella Typhimurium</w:t>
      </w:r>
      <w:r w:rsidRPr="00857370">
        <w:rPr>
          <w:highlight w:val="cyan"/>
        </w:rPr>
        <w:t xml:space="preserve">, Chromosomal aberrations in Chinese Hamster V79 cells, and Gene mutation (HPRT) in Chinese Hamster V79 cells. Negative results in all tests allowed to conclude that the metabolite AE F160460 is devoid of genotoxic potential (EFSA conclusion, Section 2). AE F160460 is considered not relevant and is further evaluated in Stage 3.  </w:t>
      </w:r>
    </w:p>
    <w:p w:rsidR="00857370" w:rsidRPr="00857370" w:rsidRDefault="00857370" w:rsidP="00857370">
      <w:pPr>
        <w:spacing w:before="240" w:after="1" w:line="235" w:lineRule="auto"/>
        <w:ind w:left="-5" w:hanging="10"/>
        <w:jc w:val="both"/>
        <w:rPr>
          <w:highlight w:val="cyan"/>
        </w:rPr>
      </w:pPr>
      <w:r w:rsidRPr="00857370">
        <w:rPr>
          <w:highlight w:val="cyan"/>
        </w:rPr>
        <w:t xml:space="preserve">The genotoxicity studies have been evaluated within the EU peer review process (cf. RAR of </w:t>
      </w:r>
      <w:proofErr w:type="spellStart"/>
      <w:r w:rsidRPr="00857370">
        <w:rPr>
          <w:highlight w:val="cyan"/>
        </w:rPr>
        <w:t>mesosulfuron</w:t>
      </w:r>
      <w:proofErr w:type="spellEnd"/>
      <w:r w:rsidRPr="00857370">
        <w:rPr>
          <w:highlight w:val="cyan"/>
        </w:rPr>
        <w:t>-methyl Vol.1, Level 2, Section 2.11.3.2).</w:t>
      </w:r>
    </w:p>
    <w:p w:rsidR="00857370" w:rsidRPr="00857370" w:rsidRDefault="00857370" w:rsidP="00857370">
      <w:pPr>
        <w:pStyle w:val="Nagwek4"/>
        <w:numPr>
          <w:ilvl w:val="3"/>
          <w:numId w:val="32"/>
        </w:numPr>
        <w:rPr>
          <w:highlight w:val="cyan"/>
        </w:rPr>
      </w:pPr>
      <w:bookmarkStart w:id="165" w:name="_Toc136590909"/>
      <w:bookmarkStart w:id="166" w:name="_Toc150777382"/>
      <w:r w:rsidRPr="00857370">
        <w:rPr>
          <w:highlight w:val="cyan"/>
        </w:rPr>
        <w:t>STEP 3, Stage 3: screening for toxicity</w:t>
      </w:r>
      <w:bookmarkEnd w:id="165"/>
      <w:bookmarkEnd w:id="166"/>
    </w:p>
    <w:p w:rsidR="00857370" w:rsidRPr="00857370" w:rsidRDefault="00857370" w:rsidP="00857370">
      <w:pPr>
        <w:spacing w:after="498" w:line="247" w:lineRule="auto"/>
        <w:ind w:left="-5" w:hanging="10"/>
        <w:jc w:val="both"/>
        <w:rPr>
          <w:highlight w:val="cyan"/>
        </w:rPr>
      </w:pPr>
      <w:r w:rsidRPr="00857370">
        <w:rPr>
          <w:highlight w:val="cyan"/>
        </w:rPr>
        <w:t xml:space="preserve">Parent compound </w:t>
      </w:r>
      <w:proofErr w:type="spellStart"/>
      <w:r w:rsidRPr="00857370">
        <w:rPr>
          <w:highlight w:val="cyan"/>
        </w:rPr>
        <w:t>mesosulfuron</w:t>
      </w:r>
      <w:proofErr w:type="spellEnd"/>
      <w:r w:rsidRPr="00857370">
        <w:rPr>
          <w:highlight w:val="cyan"/>
        </w:rPr>
        <w:t xml:space="preserve">-methyl is not classified as toxic or very toxic and has no classification for reproductive toxicity or carcinogenic properties. Consequently, according to Guidance Document </w:t>
      </w:r>
      <w:r w:rsidRPr="00857370">
        <w:rPr>
          <w:highlight w:val="cyan"/>
          <w:lang w:val="en-IE"/>
        </w:rPr>
        <w:t>Sanco/221/2000, rev.11, 21/10/2021</w:t>
      </w:r>
      <w:r w:rsidRPr="00857370">
        <w:rPr>
          <w:highlight w:val="cyan"/>
        </w:rPr>
        <w:t xml:space="preserve">, further toxicity testing with the metabolites is not required based on these criteria.  </w:t>
      </w:r>
    </w:p>
    <w:p w:rsidR="00857370" w:rsidRPr="00857370" w:rsidRDefault="00857370" w:rsidP="00857370">
      <w:pPr>
        <w:pStyle w:val="Nagwek3"/>
        <w:numPr>
          <w:ilvl w:val="2"/>
          <w:numId w:val="32"/>
        </w:numPr>
        <w:rPr>
          <w:highlight w:val="cyan"/>
        </w:rPr>
      </w:pPr>
      <w:bookmarkStart w:id="167" w:name="_Toc136590910"/>
      <w:bookmarkStart w:id="168" w:name="_Toc150777383"/>
      <w:bookmarkStart w:id="169" w:name="_Hlk150332865"/>
      <w:r w:rsidRPr="00857370">
        <w:rPr>
          <w:highlight w:val="cyan"/>
        </w:rPr>
        <w:t>STEP 4: Exposure assessment – threshold of concern approach</w:t>
      </w:r>
      <w:bookmarkEnd w:id="167"/>
      <w:bookmarkEnd w:id="168"/>
    </w:p>
    <w:bookmarkEnd w:id="169"/>
    <w:p w:rsidR="00857370" w:rsidRPr="00857370" w:rsidRDefault="00857370" w:rsidP="00857370">
      <w:pPr>
        <w:spacing w:after="498" w:line="247" w:lineRule="auto"/>
        <w:ind w:left="-5" w:hanging="10"/>
        <w:jc w:val="both"/>
        <w:rPr>
          <w:highlight w:val="cyan"/>
        </w:rPr>
      </w:pPr>
      <w:r w:rsidRPr="00857370">
        <w:rPr>
          <w:highlight w:val="cyan"/>
        </w:rPr>
        <w:t xml:space="preserve">The metabolite AE F160460 did not reach or exceed the threshold level of 0.75μg/L. No relevant further route of consumer exposure applies for this component (cf. RAR of </w:t>
      </w:r>
      <w:proofErr w:type="spellStart"/>
      <w:r w:rsidRPr="00857370">
        <w:rPr>
          <w:highlight w:val="cyan"/>
        </w:rPr>
        <w:t>mesosulfuron</w:t>
      </w:r>
      <w:proofErr w:type="spellEnd"/>
      <w:r w:rsidRPr="00857370">
        <w:rPr>
          <w:highlight w:val="cyan"/>
        </w:rPr>
        <w:t xml:space="preserve">-methyl Vol.1, Level 2, Section 2.11.4). </w:t>
      </w:r>
    </w:p>
    <w:p w:rsidR="00857370" w:rsidRPr="00857370" w:rsidRDefault="00857370" w:rsidP="00857370">
      <w:pPr>
        <w:pStyle w:val="Nagwek3"/>
        <w:numPr>
          <w:ilvl w:val="2"/>
          <w:numId w:val="32"/>
        </w:numPr>
        <w:rPr>
          <w:highlight w:val="cyan"/>
        </w:rPr>
      </w:pPr>
      <w:bookmarkStart w:id="170" w:name="_Toc150777384"/>
      <w:r w:rsidRPr="00857370">
        <w:rPr>
          <w:highlight w:val="cyan"/>
        </w:rPr>
        <w:t>STEP 5: Refined risk assessment</w:t>
      </w:r>
      <w:bookmarkEnd w:id="170"/>
    </w:p>
    <w:p w:rsidR="00857370" w:rsidRPr="00857370" w:rsidRDefault="00857370" w:rsidP="00857370">
      <w:pPr>
        <w:spacing w:line="247" w:lineRule="auto"/>
        <w:ind w:left="-5" w:hanging="10"/>
        <w:jc w:val="both"/>
        <w:rPr>
          <w:highlight w:val="cyan"/>
        </w:rPr>
      </w:pPr>
      <w:r w:rsidRPr="00857370">
        <w:rPr>
          <w:highlight w:val="cyan"/>
        </w:rPr>
        <w:t xml:space="preserve">As metabolite AE F160460 does not reach or exceed the threshold level of 0.75μg/L, a refined risk assessment is not necessary for this component (cf. RAR of </w:t>
      </w:r>
      <w:proofErr w:type="spellStart"/>
      <w:r w:rsidRPr="00857370">
        <w:rPr>
          <w:highlight w:val="cyan"/>
        </w:rPr>
        <w:t>mesosulfuron</w:t>
      </w:r>
      <w:proofErr w:type="spellEnd"/>
      <w:r w:rsidRPr="00857370">
        <w:rPr>
          <w:highlight w:val="cyan"/>
        </w:rPr>
        <w:t xml:space="preserve">-methyl Vol.1, Level 2, Section 2.11.5). </w:t>
      </w:r>
    </w:p>
    <w:p w:rsidR="00857370" w:rsidRPr="00857370" w:rsidRDefault="00857370" w:rsidP="00857370">
      <w:pPr>
        <w:pStyle w:val="Nagwek2"/>
        <w:numPr>
          <w:ilvl w:val="1"/>
          <w:numId w:val="32"/>
        </w:numPr>
        <w:rPr>
          <w:highlight w:val="cyan"/>
          <w:lang w:val="en-IE"/>
        </w:rPr>
      </w:pPr>
      <w:bookmarkStart w:id="171" w:name="_Toc136590911"/>
      <w:bookmarkStart w:id="172" w:name="_Toc150777385"/>
      <w:r w:rsidRPr="00857370">
        <w:rPr>
          <w:highlight w:val="cyan"/>
        </w:rPr>
        <w:lastRenderedPageBreak/>
        <w:t>Relevance assessment of AE F147447</w:t>
      </w:r>
      <w:bookmarkEnd w:id="171"/>
      <w:r w:rsidRPr="00857370">
        <w:rPr>
          <w:highlight w:val="cyan"/>
        </w:rPr>
        <w:t xml:space="preserve">, </w:t>
      </w:r>
      <w:r w:rsidRPr="00857370">
        <w:rPr>
          <w:highlight w:val="cyan"/>
          <w:lang w:val="en-IE"/>
        </w:rPr>
        <w:t xml:space="preserve">metabolite of </w:t>
      </w:r>
      <w:proofErr w:type="spellStart"/>
      <w:r w:rsidRPr="00857370">
        <w:rPr>
          <w:highlight w:val="cyan"/>
          <w:lang w:val="en-IE"/>
        </w:rPr>
        <w:t>mesosulfuron</w:t>
      </w:r>
      <w:proofErr w:type="spellEnd"/>
      <w:r w:rsidRPr="00857370">
        <w:rPr>
          <w:highlight w:val="cyan"/>
          <w:lang w:val="en-IE"/>
        </w:rPr>
        <w:t>-methyl</w:t>
      </w:r>
      <w:bookmarkEnd w:id="172"/>
    </w:p>
    <w:p w:rsidR="00857370" w:rsidRPr="00857370" w:rsidRDefault="00857370" w:rsidP="00857370">
      <w:pPr>
        <w:pStyle w:val="RepStandard"/>
        <w:rPr>
          <w:highlight w:val="cyan"/>
          <w:lang w:val="en-IE"/>
        </w:rPr>
      </w:pPr>
    </w:p>
    <w:p w:rsidR="00857370" w:rsidRPr="00857370" w:rsidRDefault="00857370" w:rsidP="00857370">
      <w:pPr>
        <w:spacing w:line="247" w:lineRule="auto"/>
        <w:ind w:left="-5" w:hanging="10"/>
        <w:jc w:val="both"/>
        <w:rPr>
          <w:highlight w:val="cyan"/>
        </w:rPr>
      </w:pPr>
      <w:bookmarkStart w:id="173" w:name="_Hlk150333051"/>
      <w:r w:rsidRPr="00857370">
        <w:rPr>
          <w:highlight w:val="cyan"/>
        </w:rPr>
        <w:t xml:space="preserve">The relevance of groundwater metabolite AE F147447 </w:t>
      </w:r>
      <w:bookmarkEnd w:id="173"/>
      <w:r w:rsidRPr="00857370">
        <w:rPr>
          <w:highlight w:val="cyan"/>
        </w:rPr>
        <w:t xml:space="preserve">has already been assessed and accepted at EU level (see EFSA conclusion Section 4, and List of Endpoints for </w:t>
      </w:r>
      <w:proofErr w:type="spellStart"/>
      <w:r w:rsidRPr="00857370">
        <w:rPr>
          <w:highlight w:val="cyan"/>
        </w:rPr>
        <w:t>mesosulfuron</w:t>
      </w:r>
      <w:proofErr w:type="spellEnd"/>
      <w:r w:rsidRPr="00857370">
        <w:rPr>
          <w:highlight w:val="cyan"/>
        </w:rPr>
        <w:t xml:space="preserve">-methyl). Metabolite AE F147447 is </w:t>
      </w:r>
      <w:r w:rsidRPr="00857370">
        <w:rPr>
          <w:highlight w:val="cyan"/>
          <w:u w:val="single"/>
        </w:rPr>
        <w:t>not</w:t>
      </w:r>
      <w:r w:rsidRPr="00857370">
        <w:rPr>
          <w:highlight w:val="cyan"/>
        </w:rPr>
        <w:t xml:space="preserve"> considered relevant according to the criteria laid down in the EC guidance document SANCO/221/2000 –rev.11. A summary of the relevance assessment is provided in Table 10.4-1.</w:t>
      </w:r>
    </w:p>
    <w:p w:rsidR="00857370" w:rsidRPr="00857370" w:rsidRDefault="00857370" w:rsidP="00857370">
      <w:pPr>
        <w:spacing w:before="240" w:line="247" w:lineRule="auto"/>
        <w:ind w:left="-5" w:hanging="10"/>
        <w:jc w:val="both"/>
        <w:rPr>
          <w:highlight w:val="cyan"/>
        </w:rPr>
      </w:pPr>
      <w:r w:rsidRPr="00857370">
        <w:rPr>
          <w:highlight w:val="cyan"/>
        </w:rPr>
        <w:t xml:space="preserve">This agreed assessment is also applicable for the GAP and groundwater scenarios considered in this dRR, as predicted metabolite concentrations were always &lt; 0.75 </w:t>
      </w:r>
      <w:proofErr w:type="spellStart"/>
      <w:r w:rsidRPr="00857370">
        <w:rPr>
          <w:highlight w:val="cyan"/>
        </w:rPr>
        <w:t>μg</w:t>
      </w:r>
      <w:proofErr w:type="spellEnd"/>
      <w:r w:rsidRPr="00857370">
        <w:rPr>
          <w:highlight w:val="cyan"/>
        </w:rPr>
        <w:t>/L.</w:t>
      </w:r>
    </w:p>
    <w:p w:rsidR="00857370" w:rsidRPr="00857370" w:rsidRDefault="00857370" w:rsidP="00857370">
      <w:pPr>
        <w:pStyle w:val="RepLabel"/>
        <w:suppressAutoHyphens/>
        <w:ind w:left="0" w:firstLine="0"/>
        <w:rPr>
          <w:highlight w:val="cyan"/>
        </w:rPr>
      </w:pPr>
      <w:r w:rsidRPr="00857370">
        <w:rPr>
          <w:highlight w:val="cyan"/>
        </w:rPr>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10.4</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1</w:t>
      </w:r>
      <w:r w:rsidRPr="00857370">
        <w:rPr>
          <w:highlight w:val="cyan"/>
        </w:rPr>
        <w:fldChar w:fldCharType="end"/>
      </w:r>
      <w:r w:rsidRPr="00857370">
        <w:rPr>
          <w:highlight w:val="cyan"/>
        </w:rPr>
        <w:t>:</w:t>
      </w:r>
      <w:r w:rsidRPr="00857370">
        <w:rPr>
          <w:highlight w:val="cyan"/>
        </w:rPr>
        <w:tab/>
      </w:r>
      <w:r w:rsidRPr="00857370">
        <w:rPr>
          <w:bCs w:val="0"/>
          <w:highlight w:val="cyan"/>
        </w:rPr>
        <w:t xml:space="preserve">Summary of the relevance assessment for </w:t>
      </w:r>
      <w:r w:rsidRPr="00857370">
        <w:rPr>
          <w:highlight w:val="cyan"/>
          <w:lang w:val="en-US"/>
        </w:rPr>
        <w:t>AE F147447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2"/>
        <w:gridCol w:w="1372"/>
        <w:gridCol w:w="1372"/>
        <w:gridCol w:w="2838"/>
        <w:gridCol w:w="2834"/>
      </w:tblGrid>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Assessment step</w:t>
            </w:r>
          </w:p>
        </w:tc>
        <w:tc>
          <w:tcPr>
            <w:tcW w:w="3034"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 xml:space="preserve">Result of assessment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
                <w:noProof w:val="0"/>
                <w:highlight w:val="cyan"/>
              </w:rPr>
            </w:pPr>
            <w:r w:rsidRPr="00857370">
              <w:rPr>
                <w:bCs/>
                <w:noProof w:val="0"/>
                <w:highlight w:val="cyan"/>
              </w:rPr>
              <w:t>Non-relevance EU-agreed?</w:t>
            </w:r>
          </w:p>
        </w:tc>
        <w:tc>
          <w:tcPr>
            <w:tcW w:w="1518"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
                <w:noProof w:val="0"/>
                <w:highlight w:val="cyan"/>
              </w:rPr>
            </w:pPr>
            <w:r w:rsidRPr="00857370">
              <w:rPr>
                <w:bCs/>
                <w:noProof w:val="0"/>
                <w:highlight w:val="cyan"/>
              </w:rPr>
              <w:t>Yes</w:t>
            </w:r>
          </w:p>
        </w:tc>
        <w:tc>
          <w:tcPr>
            <w:tcW w:w="1516" w:type="pct"/>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bCs/>
                <w:noProof w:val="0"/>
                <w:highlight w:val="cyan"/>
              </w:rPr>
            </w:pPr>
            <w:r w:rsidRPr="00857370">
              <w:rPr>
                <w:bCs/>
                <w:noProof w:val="0"/>
                <w:highlight w:val="cyan"/>
              </w:rPr>
              <w:t xml:space="preserve">Reference: </w:t>
            </w:r>
          </w:p>
          <w:p w:rsidR="00857370" w:rsidRPr="00857370" w:rsidRDefault="00857370">
            <w:pPr>
              <w:pStyle w:val="RepTable"/>
              <w:suppressAutoHyphens/>
              <w:rPr>
                <w:bCs/>
                <w:noProof w:val="0"/>
                <w:highlight w:val="cyan"/>
              </w:rPr>
            </w:pPr>
            <w:r w:rsidRPr="00857370">
              <w:rPr>
                <w:bCs/>
                <w:noProof w:val="0"/>
                <w:highlight w:val="cyan"/>
              </w:rPr>
              <w:t xml:space="preserve">EFSA conclusion and </w:t>
            </w:r>
            <w:proofErr w:type="spellStart"/>
            <w:r w:rsidRPr="00857370">
              <w:rPr>
                <w:bCs/>
                <w:noProof w:val="0"/>
                <w:highlight w:val="cyan"/>
              </w:rPr>
              <w:t>LoEP</w:t>
            </w:r>
            <w:proofErr w:type="spellEnd"/>
            <w:r w:rsidRPr="00857370">
              <w:rPr>
                <w:bCs/>
                <w:noProof w:val="0"/>
                <w:highlight w:val="cyan"/>
              </w:rPr>
              <w:t xml:space="preserve"> of </w:t>
            </w:r>
            <w:proofErr w:type="spellStart"/>
            <w:r w:rsidRPr="00857370">
              <w:rPr>
                <w:bCs/>
                <w:noProof w:val="0"/>
                <w:highlight w:val="cyan"/>
              </w:rPr>
              <w:t>mesosulfuron</w:t>
            </w:r>
            <w:proofErr w:type="spellEnd"/>
            <w:r w:rsidRPr="00857370">
              <w:rPr>
                <w:bCs/>
                <w:noProof w:val="0"/>
                <w:highlight w:val="cyan"/>
              </w:rPr>
              <w:t xml:space="preserve">,  </w:t>
            </w:r>
          </w:p>
          <w:p w:rsidR="00857370" w:rsidRPr="00857370" w:rsidRDefault="00857370">
            <w:pPr>
              <w:pStyle w:val="RepTable"/>
              <w:suppressAutoHyphens/>
              <w:rPr>
                <w:bCs/>
                <w:noProof w:val="0"/>
                <w:highlight w:val="cyan"/>
              </w:rPr>
            </w:pPr>
            <w:r w:rsidRPr="00857370">
              <w:rPr>
                <w:bCs/>
                <w:noProof w:val="0"/>
                <w:highlight w:val="cyan"/>
              </w:rPr>
              <w:t xml:space="preserve">EFSA Journal 2016;14(10):4584, Section 4 and Table 2;  </w:t>
            </w:r>
          </w:p>
          <w:p w:rsidR="00857370" w:rsidRPr="00857370" w:rsidRDefault="00857370">
            <w:pPr>
              <w:pStyle w:val="RepTable"/>
              <w:suppressAutoHyphens/>
              <w:rPr>
                <w:b/>
                <w:noProof w:val="0"/>
                <w:highlight w:val="cyan"/>
              </w:rPr>
            </w:pPr>
            <w:r w:rsidRPr="00857370">
              <w:rPr>
                <w:bCs/>
                <w:noProof w:val="0"/>
                <w:highlight w:val="cyan"/>
              </w:rPr>
              <w:t xml:space="preserve">EFSA Journal 2016;14(10):4584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STEP 1 </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Metabolite of no concern?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Quantification of groundwater contamination</w:t>
            </w:r>
          </w:p>
        </w:tc>
        <w:tc>
          <w:tcPr>
            <w:tcW w:w="1467" w:type="pct"/>
            <w:gridSpan w:val="2"/>
            <w:vMerge w:val="restar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noProof w:val="0"/>
                <w:highlight w:val="cyan"/>
              </w:rPr>
              <w:t>STEP 2</w:t>
            </w:r>
          </w:p>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Max </w:t>
            </w:r>
            <w:proofErr w:type="spellStart"/>
            <w:r w:rsidRPr="00857370">
              <w:rPr>
                <w:noProof w:val="0"/>
                <w:highlight w:val="cyan"/>
              </w:rPr>
              <w:t>PEC</w:t>
            </w:r>
            <w:r w:rsidRPr="00857370">
              <w:rPr>
                <w:noProof w:val="0"/>
                <w:highlight w:val="cyan"/>
                <w:vertAlign w:val="subscript"/>
              </w:rPr>
              <w:t>gw</w:t>
            </w:r>
            <w:proofErr w:type="spellEnd"/>
            <w:r w:rsidRPr="00857370">
              <w:rPr>
                <w:noProof w:val="0"/>
                <w:highlight w:val="cyan"/>
                <w:vertAlign w:val="subscript"/>
              </w:rPr>
              <w:t xml:space="preserve"> </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highlight w:val="cyan"/>
              </w:rPr>
              <w:t>0.401 µg/L</w:t>
            </w:r>
          </w:p>
          <w:p w:rsidR="00857370" w:rsidRPr="00857370" w:rsidRDefault="00857370">
            <w:pPr>
              <w:pStyle w:val="RepTable"/>
              <w:suppressAutoHyphens/>
              <w:rPr>
                <w:highlight w:val="cyan"/>
              </w:rPr>
            </w:pPr>
          </w:p>
        </w:tc>
      </w:tr>
      <w:tr w:rsidR="00857370" w:rsidRPr="00857370" w:rsidTr="00857370">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Based on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FOCUS PEARL 5.5.5, Jokioinen</w:t>
            </w:r>
          </w:p>
          <w:p w:rsidR="00857370" w:rsidRPr="00857370" w:rsidRDefault="00857370">
            <w:pPr>
              <w:pStyle w:val="RepTable"/>
              <w:suppressAutoHyphens/>
              <w:spacing w:before="240"/>
              <w:rPr>
                <w:highlight w:val="cyan"/>
              </w:rPr>
            </w:pPr>
            <w:r w:rsidRPr="00857370">
              <w:rPr>
                <w:highlight w:val="cyan"/>
              </w:rPr>
              <w:t>Winter cereals, End of winter to spring application</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Hazard assessment</w:t>
            </w: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3</w:t>
            </w: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1</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Biological activity comparable to the parent?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2</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Genotoxic properties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non-genotoxic</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3</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Toxic properties of metabolite;</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Classification of parent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 classification and labelling required with respect to toxicological profile</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Classification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None</w:t>
            </w:r>
          </w:p>
        </w:tc>
      </w:tr>
      <w:tr w:rsidR="00857370" w:rsidRPr="00857370" w:rsidTr="00857370">
        <w:trPr>
          <w:trHeight w:val="879"/>
        </w:trPr>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Consumer health risk assessment</w:t>
            </w: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4</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Estimated consumer exposure via drinking water and other sources; threshold of concern approach </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rPr>
                <w:highlight w:val="cyan"/>
              </w:rPr>
            </w:pPr>
            <w:r w:rsidRPr="00857370">
              <w:rPr>
                <w:highlight w:val="cyan"/>
              </w:rPr>
              <w:t xml:space="preserve">Acceptable </w:t>
            </w:r>
            <w:r w:rsidRPr="00857370">
              <w:rPr>
                <w:highlight w:val="cyan"/>
                <w:lang w:val="en-US"/>
              </w:rPr>
              <w:t>(&lt;0.75 ug/L)</w:t>
            </w:r>
          </w:p>
          <w:p w:rsidR="00857370" w:rsidRPr="00857370" w:rsidRDefault="00857370">
            <w:pPr>
              <w:pStyle w:val="RepTable"/>
              <w:suppressAutoHyphens/>
              <w:rPr>
                <w:highlight w:val="cyan"/>
              </w:rPr>
            </w:pP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5</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Refined risk assessment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Predicted exposure (% of ADI)</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ADI based on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N/A*</w:t>
            </w:r>
          </w:p>
        </w:tc>
      </w:tr>
    </w:tbl>
    <w:p w:rsidR="00857370" w:rsidRPr="00857370" w:rsidRDefault="00857370" w:rsidP="00857370">
      <w:pPr>
        <w:pStyle w:val="RepTableFootnote"/>
        <w:suppressAutoHyphens/>
        <w:rPr>
          <w:highlight w:val="cyan"/>
          <w:lang w:val="en-GB" w:eastAsia="de-DE"/>
        </w:rPr>
      </w:pPr>
      <w:r w:rsidRPr="00857370">
        <w:rPr>
          <w:highlight w:val="cyan"/>
          <w:lang w:val="en-GB"/>
        </w:rPr>
        <w:t>*</w:t>
      </w:r>
      <w:r w:rsidRPr="00857370">
        <w:rPr>
          <w:highlight w:val="cyan"/>
          <w:lang w:val="en-GB"/>
        </w:rPr>
        <w:tab/>
        <w:t>N/A: not applicable</w:t>
      </w:r>
    </w:p>
    <w:p w:rsidR="00857370" w:rsidRPr="00857370" w:rsidRDefault="00857370" w:rsidP="00857370">
      <w:pPr>
        <w:pStyle w:val="Nagwek3"/>
        <w:numPr>
          <w:ilvl w:val="2"/>
          <w:numId w:val="32"/>
        </w:numPr>
        <w:rPr>
          <w:highlight w:val="cyan"/>
        </w:rPr>
      </w:pPr>
      <w:bookmarkStart w:id="174" w:name="_Toc136590912"/>
      <w:bookmarkStart w:id="175" w:name="_Toc150777386"/>
      <w:r w:rsidRPr="00857370">
        <w:rPr>
          <w:highlight w:val="cyan"/>
        </w:rPr>
        <w:t>STEP 1: Exclusion of degradation products of no concern</w:t>
      </w:r>
      <w:bookmarkEnd w:id="174"/>
      <w:bookmarkEnd w:id="175"/>
    </w:p>
    <w:p w:rsidR="00857370" w:rsidRPr="00857370" w:rsidRDefault="00857370" w:rsidP="00857370">
      <w:pPr>
        <w:spacing w:after="498" w:line="247" w:lineRule="auto"/>
        <w:jc w:val="both"/>
        <w:rPr>
          <w:color w:val="000000"/>
          <w:kern w:val="2"/>
          <w:highlight w:val="cyan"/>
          <w:lang w:val="en-IE" w:eastAsia="en-IE"/>
        </w:rPr>
      </w:pPr>
      <w:r w:rsidRPr="00857370">
        <w:rPr>
          <w:color w:val="000000"/>
          <w:kern w:val="2"/>
          <w:highlight w:val="cyan"/>
          <w:lang w:val="en-IE" w:eastAsia="en-IE"/>
        </w:rPr>
        <w:t xml:space="preserve">AE F147447 does not meet the criteria for products of no concern as defined in step 1 of the guidance and therefore needs further assessment. </w:t>
      </w:r>
    </w:p>
    <w:p w:rsidR="00857370" w:rsidRPr="00857370" w:rsidRDefault="00857370" w:rsidP="00857370">
      <w:pPr>
        <w:pStyle w:val="Nagwek3"/>
        <w:numPr>
          <w:ilvl w:val="2"/>
          <w:numId w:val="32"/>
        </w:numPr>
        <w:rPr>
          <w:highlight w:val="cyan"/>
          <w:lang w:eastAsia="pl-PL"/>
        </w:rPr>
      </w:pPr>
      <w:bookmarkStart w:id="176" w:name="_Toc136590913"/>
      <w:bookmarkStart w:id="177" w:name="_Toc150777387"/>
      <w:r w:rsidRPr="00857370">
        <w:rPr>
          <w:highlight w:val="cyan"/>
        </w:rPr>
        <w:lastRenderedPageBreak/>
        <w:t>STEP 2: Quantification of potential groundwater contamination</w:t>
      </w:r>
      <w:bookmarkEnd w:id="176"/>
      <w:bookmarkEnd w:id="177"/>
    </w:p>
    <w:p w:rsidR="00857370" w:rsidRPr="00857370" w:rsidRDefault="00857370" w:rsidP="00857370">
      <w:pPr>
        <w:spacing w:after="498" w:line="247" w:lineRule="auto"/>
        <w:ind w:left="-5" w:hanging="10"/>
        <w:jc w:val="both"/>
        <w:rPr>
          <w:rFonts w:ascii="Calibri" w:eastAsia="Calibri" w:hAnsi="Calibri" w:cs="Calibri"/>
          <w:color w:val="000000"/>
          <w:kern w:val="2"/>
          <w:highlight w:val="cyan"/>
          <w:lang w:val="en-IE" w:eastAsia="en-IE"/>
        </w:rPr>
      </w:pPr>
      <w:proofErr w:type="spellStart"/>
      <w:r w:rsidRPr="00857370">
        <w:rPr>
          <w:color w:val="000000"/>
          <w:kern w:val="2"/>
          <w:highlight w:val="cyan"/>
          <w:lang w:val="en-IE" w:eastAsia="en-IE"/>
        </w:rPr>
        <w:t>PEC</w:t>
      </w:r>
      <w:r w:rsidRPr="00857370">
        <w:rPr>
          <w:color w:val="000000"/>
          <w:kern w:val="2"/>
          <w:highlight w:val="cyan"/>
          <w:vertAlign w:val="subscript"/>
          <w:lang w:val="en-IE" w:eastAsia="en-IE"/>
        </w:rPr>
        <w:t>gw</w:t>
      </w:r>
      <w:proofErr w:type="spellEnd"/>
      <w:r w:rsidRPr="00857370">
        <w:rPr>
          <w:color w:val="000000"/>
          <w:kern w:val="2"/>
          <w:highlight w:val="cyan"/>
          <w:lang w:val="en-IE" w:eastAsia="en-IE"/>
        </w:rPr>
        <w:t xml:space="preserve"> calculations after leaching from soil for AE F147447 were performed, for details see Part B, Section 8, chapter 8.8. The overall maximum concentration of AE F147447 from all assessed uses and scenarios is listed in Table 10.4-1.  </w:t>
      </w:r>
    </w:p>
    <w:p w:rsidR="00857370" w:rsidRPr="00857370" w:rsidRDefault="00857370" w:rsidP="00857370">
      <w:pPr>
        <w:pStyle w:val="Nagwek3"/>
        <w:numPr>
          <w:ilvl w:val="2"/>
          <w:numId w:val="32"/>
        </w:numPr>
        <w:rPr>
          <w:rFonts w:cs="Tahoma"/>
          <w:highlight w:val="cyan"/>
          <w:lang w:eastAsia="pl-PL"/>
        </w:rPr>
      </w:pPr>
      <w:bookmarkStart w:id="178" w:name="_Toc136590914"/>
      <w:bookmarkStart w:id="179" w:name="_Toc150777388"/>
      <w:r w:rsidRPr="00857370">
        <w:rPr>
          <w:highlight w:val="cyan"/>
        </w:rPr>
        <w:t>STEP 3: Hazard assessment – identification of relevant metabolites</w:t>
      </w:r>
      <w:bookmarkEnd w:id="178"/>
      <w:bookmarkEnd w:id="179"/>
    </w:p>
    <w:p w:rsidR="00857370" w:rsidRPr="00857370" w:rsidRDefault="00857370" w:rsidP="00857370">
      <w:pPr>
        <w:pStyle w:val="Nagwek4"/>
        <w:numPr>
          <w:ilvl w:val="3"/>
          <w:numId w:val="32"/>
        </w:numPr>
        <w:suppressAutoHyphens/>
        <w:rPr>
          <w:highlight w:val="cyan"/>
          <w:lang w:val="en-GB"/>
        </w:rPr>
      </w:pPr>
      <w:bookmarkStart w:id="180" w:name="_Toc136590915"/>
      <w:bookmarkStart w:id="181" w:name="_Toc150777389"/>
      <w:r w:rsidRPr="00857370">
        <w:rPr>
          <w:highlight w:val="cyan"/>
          <w:lang w:val="en-GB"/>
        </w:rPr>
        <w:t>STEP 3, Stage 1: screening for biological activity</w:t>
      </w:r>
      <w:bookmarkEnd w:id="180"/>
      <w:bookmarkEnd w:id="181"/>
    </w:p>
    <w:p w:rsidR="00857370" w:rsidRPr="00857370" w:rsidRDefault="00857370" w:rsidP="00857370">
      <w:pPr>
        <w:spacing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Metabolite AE F147447 does not have comparable target activity as the parent active compound, as shown by biological screening data. AE F147447 is considered not relevant and is further evaluated in Stage 2.  </w:t>
      </w:r>
    </w:p>
    <w:p w:rsidR="00857370" w:rsidRPr="00857370" w:rsidRDefault="00857370" w:rsidP="00857370">
      <w:pPr>
        <w:spacing w:before="240"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biological screening on the metabolite has been considered within the EU peer review process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2.11.3.1). </w:t>
      </w:r>
    </w:p>
    <w:p w:rsidR="00857370" w:rsidRPr="00857370" w:rsidRDefault="00857370" w:rsidP="00857370">
      <w:pPr>
        <w:pStyle w:val="Nagwek4"/>
        <w:numPr>
          <w:ilvl w:val="3"/>
          <w:numId w:val="32"/>
        </w:numPr>
        <w:rPr>
          <w:rFonts w:eastAsia="Calibri"/>
          <w:highlight w:val="cyan"/>
          <w:lang w:val="de-DE" w:eastAsia="de-DE"/>
        </w:rPr>
      </w:pPr>
      <w:bookmarkStart w:id="182" w:name="_Toc136590916"/>
      <w:bookmarkStart w:id="183" w:name="_Toc150777390"/>
      <w:r w:rsidRPr="00857370">
        <w:rPr>
          <w:rFonts w:eastAsia="Calibri"/>
          <w:highlight w:val="cyan"/>
        </w:rPr>
        <w:t>STEP 3, Stage 2: screening for genotoxicity</w:t>
      </w:r>
      <w:bookmarkEnd w:id="182"/>
      <w:bookmarkEnd w:id="183"/>
    </w:p>
    <w:p w:rsidR="00857370" w:rsidRPr="00857370" w:rsidRDefault="00857370" w:rsidP="00857370">
      <w:pPr>
        <w:rPr>
          <w:rFonts w:eastAsia="Calibri"/>
          <w:highlight w:val="cyan"/>
        </w:rPr>
      </w:pPr>
    </w:p>
    <w:p w:rsidR="00857370" w:rsidRPr="00857370" w:rsidRDefault="00857370" w:rsidP="00857370">
      <w:pPr>
        <w:spacing w:after="1" w:line="235"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AE F147447 was addressed for genotoxic activity by the following data package of </w:t>
      </w:r>
      <w:r w:rsidRPr="00857370">
        <w:rPr>
          <w:i/>
          <w:color w:val="000000"/>
          <w:kern w:val="2"/>
          <w:highlight w:val="cyan"/>
          <w:lang w:val="en-IE" w:eastAsia="en-IE"/>
        </w:rPr>
        <w:t>in vitro</w:t>
      </w:r>
      <w:r w:rsidRPr="00857370">
        <w:rPr>
          <w:color w:val="000000"/>
          <w:kern w:val="2"/>
          <w:highlight w:val="cyan"/>
          <w:lang w:val="en-IE" w:eastAsia="en-IE"/>
        </w:rPr>
        <w:t xml:space="preserve"> genotoxicity studies: Ames Test on </w:t>
      </w:r>
      <w:r w:rsidRPr="00857370">
        <w:rPr>
          <w:i/>
          <w:iCs/>
          <w:color w:val="000000"/>
          <w:kern w:val="2"/>
          <w:highlight w:val="cyan"/>
          <w:lang w:val="en-IE" w:eastAsia="en-IE"/>
        </w:rPr>
        <w:t>Salmonella Typhimurium</w:t>
      </w:r>
      <w:r w:rsidRPr="00857370">
        <w:rPr>
          <w:color w:val="000000"/>
          <w:kern w:val="2"/>
          <w:highlight w:val="cyan"/>
          <w:lang w:val="en-IE" w:eastAsia="en-IE"/>
        </w:rPr>
        <w:t xml:space="preserve">, Chromosomal aberrations in Chinese Hamster V79 cells, and Gene mutation (HPRT) in Chinese Hamster V79 cells. Negative results in all tests allowed to conclude that the metabolite AE F147447 is devoid of genotoxic potential (EFSA conclusion, Section 2). AE F147447 is considered not relevant and is further evaluated in Stage 3.  </w:t>
      </w:r>
    </w:p>
    <w:p w:rsidR="00857370" w:rsidRPr="00857370" w:rsidRDefault="00857370" w:rsidP="00857370">
      <w:pPr>
        <w:spacing w:before="240" w:after="1" w:line="235"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genotoxicity studies have been evaluated within the EU peer review process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2.11.3.2).  </w:t>
      </w:r>
    </w:p>
    <w:p w:rsidR="00857370" w:rsidRPr="00857370" w:rsidRDefault="00857370" w:rsidP="00857370">
      <w:pPr>
        <w:pStyle w:val="Nagwek4"/>
        <w:numPr>
          <w:ilvl w:val="3"/>
          <w:numId w:val="32"/>
        </w:numPr>
        <w:rPr>
          <w:highlight w:val="cyan"/>
          <w:lang w:val="de-DE" w:eastAsia="de-DE"/>
        </w:rPr>
      </w:pPr>
      <w:bookmarkStart w:id="184" w:name="_Toc136590917"/>
      <w:bookmarkStart w:id="185" w:name="_Toc150777391"/>
      <w:r w:rsidRPr="00857370">
        <w:rPr>
          <w:highlight w:val="cyan"/>
        </w:rPr>
        <w:t>STEP 3, Stage 3: screening for toxicity</w:t>
      </w:r>
      <w:bookmarkEnd w:id="184"/>
      <w:bookmarkEnd w:id="185"/>
    </w:p>
    <w:p w:rsidR="00857370" w:rsidRPr="00857370" w:rsidRDefault="00857370" w:rsidP="00857370">
      <w:pPr>
        <w:spacing w:line="247" w:lineRule="auto"/>
        <w:ind w:left="-5" w:hanging="10"/>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Parent compound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is not classified as toxic or very toxic and has no classification for reproductive toxicity or carcinogenic properties. Consequently, according to Guidance Document </w:t>
      </w:r>
      <w:bookmarkStart w:id="186" w:name="_Hlk150430732"/>
      <w:r w:rsidRPr="00857370">
        <w:rPr>
          <w:color w:val="000000"/>
          <w:kern w:val="2"/>
          <w:highlight w:val="cyan"/>
          <w:lang w:val="en-IE" w:eastAsia="en-IE"/>
        </w:rPr>
        <w:t>Sanco/221/2000, rev.11, 21/10/2021</w:t>
      </w:r>
      <w:bookmarkEnd w:id="186"/>
      <w:r w:rsidRPr="00857370">
        <w:rPr>
          <w:color w:val="000000"/>
          <w:kern w:val="2"/>
          <w:highlight w:val="cyan"/>
          <w:lang w:val="en-IE" w:eastAsia="en-IE"/>
        </w:rPr>
        <w:t xml:space="preserve">, further toxicity testing with the metabolites is not required based on these criteria.  </w:t>
      </w:r>
    </w:p>
    <w:p w:rsidR="00857370" w:rsidRPr="00857370" w:rsidRDefault="00857370" w:rsidP="00857370">
      <w:pPr>
        <w:pStyle w:val="Nagwek3"/>
        <w:numPr>
          <w:ilvl w:val="2"/>
          <w:numId w:val="32"/>
        </w:numPr>
        <w:rPr>
          <w:rFonts w:cs="Tahoma"/>
          <w:highlight w:val="cyan"/>
          <w:lang w:eastAsia="pl-PL"/>
        </w:rPr>
      </w:pPr>
      <w:bookmarkStart w:id="187" w:name="_Toc136590918"/>
      <w:bookmarkStart w:id="188" w:name="_Toc150777392"/>
      <w:bookmarkStart w:id="189" w:name="_Hlk150333434"/>
      <w:r w:rsidRPr="00857370">
        <w:rPr>
          <w:highlight w:val="cyan"/>
        </w:rPr>
        <w:t>STEP 4: Exposure assessment – threshold of concern approach</w:t>
      </w:r>
      <w:bookmarkEnd w:id="187"/>
      <w:bookmarkEnd w:id="188"/>
    </w:p>
    <w:bookmarkEnd w:id="189"/>
    <w:p w:rsidR="00857370" w:rsidRPr="00857370" w:rsidRDefault="00857370" w:rsidP="00857370">
      <w:pPr>
        <w:rPr>
          <w:rFonts w:eastAsia="Calibri"/>
          <w:highlight w:val="cyan"/>
        </w:rPr>
      </w:pPr>
    </w:p>
    <w:p w:rsidR="00857370" w:rsidRPr="00857370" w:rsidRDefault="00857370" w:rsidP="00857370">
      <w:pPr>
        <w:spacing w:after="498" w:line="247" w:lineRule="auto"/>
        <w:ind w:left="-15"/>
        <w:jc w:val="both"/>
        <w:rPr>
          <w:rFonts w:ascii="Calibri" w:eastAsia="Calibri" w:hAnsi="Calibri" w:cs="Calibri"/>
          <w:color w:val="000000"/>
          <w:kern w:val="2"/>
          <w:highlight w:val="cyan"/>
          <w:lang w:val="en-IE" w:eastAsia="en-IE"/>
        </w:rPr>
      </w:pPr>
      <w:r w:rsidRPr="00857370">
        <w:rPr>
          <w:color w:val="000000"/>
          <w:kern w:val="2"/>
          <w:highlight w:val="cyan"/>
          <w:lang w:val="en-IE" w:eastAsia="en-IE"/>
        </w:rPr>
        <w:t xml:space="preserve">The metabolite AE F147447 did not reach or exceed the threshold level of 0.75 </w:t>
      </w:r>
      <w:proofErr w:type="spellStart"/>
      <w:r w:rsidRPr="00857370">
        <w:rPr>
          <w:color w:val="000000"/>
          <w:kern w:val="2"/>
          <w:highlight w:val="cyan"/>
          <w:lang w:val="en-IE" w:eastAsia="en-IE"/>
        </w:rPr>
        <w:t>μg</w:t>
      </w:r>
      <w:proofErr w:type="spellEnd"/>
      <w:r w:rsidRPr="00857370">
        <w:rPr>
          <w:color w:val="000000"/>
          <w:kern w:val="2"/>
          <w:highlight w:val="cyan"/>
          <w:lang w:val="en-IE" w:eastAsia="en-IE"/>
        </w:rPr>
        <w:t xml:space="preserve">/L. No relevant further route of consumer exposure applies for this component (cf. RAR of </w:t>
      </w:r>
      <w:proofErr w:type="spellStart"/>
      <w:r w:rsidRPr="00857370">
        <w:rPr>
          <w:color w:val="000000"/>
          <w:kern w:val="2"/>
          <w:highlight w:val="cyan"/>
          <w:lang w:val="en-IE" w:eastAsia="en-IE"/>
        </w:rPr>
        <w:t>mesosulfuron</w:t>
      </w:r>
      <w:proofErr w:type="spellEnd"/>
      <w:r w:rsidRPr="00857370">
        <w:rPr>
          <w:color w:val="000000"/>
          <w:kern w:val="2"/>
          <w:highlight w:val="cyan"/>
          <w:lang w:val="en-IE" w:eastAsia="en-IE"/>
        </w:rPr>
        <w:t xml:space="preserve">-methyl Vol.1, Level 2, Section 2.11.4). </w:t>
      </w:r>
    </w:p>
    <w:p w:rsidR="00857370" w:rsidRPr="00857370" w:rsidRDefault="00857370" w:rsidP="00857370">
      <w:pPr>
        <w:pStyle w:val="Nagwek3"/>
        <w:numPr>
          <w:ilvl w:val="2"/>
          <w:numId w:val="32"/>
        </w:numPr>
        <w:rPr>
          <w:rFonts w:cs="Tahoma"/>
          <w:highlight w:val="cyan"/>
          <w:lang w:eastAsia="pl-PL"/>
        </w:rPr>
      </w:pPr>
      <w:bookmarkStart w:id="190" w:name="_Toc150777393"/>
      <w:r w:rsidRPr="00857370">
        <w:rPr>
          <w:highlight w:val="cyan"/>
        </w:rPr>
        <w:t>STEP 5: refined risk assessment</w:t>
      </w:r>
      <w:bookmarkEnd w:id="190"/>
    </w:p>
    <w:p w:rsidR="00857370" w:rsidRPr="00857370" w:rsidRDefault="00857370" w:rsidP="00857370">
      <w:pPr>
        <w:jc w:val="both"/>
        <w:rPr>
          <w:highlight w:val="cyan"/>
        </w:rPr>
      </w:pPr>
      <w:r w:rsidRPr="00857370">
        <w:rPr>
          <w:highlight w:val="cyan"/>
        </w:rPr>
        <w:t xml:space="preserve">As metabolite AE F147447 does not reach or exceed the threshold level of 0.75 </w:t>
      </w:r>
      <w:proofErr w:type="spellStart"/>
      <w:r w:rsidRPr="00857370">
        <w:rPr>
          <w:highlight w:val="cyan"/>
        </w:rPr>
        <w:t>μg</w:t>
      </w:r>
      <w:proofErr w:type="spellEnd"/>
      <w:r w:rsidRPr="00857370">
        <w:rPr>
          <w:highlight w:val="cyan"/>
        </w:rPr>
        <w:t xml:space="preserve">/L, a refined risk assessment is not necessary for this component (cf. RAR of </w:t>
      </w:r>
      <w:proofErr w:type="spellStart"/>
      <w:r w:rsidRPr="00857370">
        <w:rPr>
          <w:highlight w:val="cyan"/>
        </w:rPr>
        <w:t>mesosulfuron</w:t>
      </w:r>
      <w:proofErr w:type="spellEnd"/>
      <w:r w:rsidRPr="00857370">
        <w:rPr>
          <w:highlight w:val="cyan"/>
        </w:rPr>
        <w:t>-methyl Vol.1, Level 2, Section 2.11.5).</w:t>
      </w:r>
    </w:p>
    <w:p w:rsidR="00857370" w:rsidRPr="00857370" w:rsidRDefault="00857370" w:rsidP="00857370">
      <w:pPr>
        <w:jc w:val="both"/>
        <w:rPr>
          <w:highlight w:val="cyan"/>
        </w:rPr>
      </w:pPr>
    </w:p>
    <w:p w:rsidR="00857370" w:rsidRPr="00857370" w:rsidRDefault="00857370" w:rsidP="00857370">
      <w:pPr>
        <w:pStyle w:val="Nagwek2"/>
        <w:numPr>
          <w:ilvl w:val="1"/>
          <w:numId w:val="32"/>
        </w:numPr>
        <w:suppressAutoHyphens/>
        <w:rPr>
          <w:highlight w:val="cyan"/>
        </w:rPr>
      </w:pPr>
      <w:bookmarkStart w:id="191" w:name="_Toc136590919"/>
      <w:bookmarkStart w:id="192" w:name="_Toc150777394"/>
      <w:r w:rsidRPr="00857370">
        <w:rPr>
          <w:highlight w:val="cyan"/>
        </w:rPr>
        <w:t>Relevance assessment of BCS-CV14885</w:t>
      </w:r>
      <w:bookmarkEnd w:id="191"/>
      <w:r w:rsidRPr="00857370">
        <w:rPr>
          <w:highlight w:val="cyan"/>
        </w:rPr>
        <w:t xml:space="preserve">, metabolite of </w:t>
      </w:r>
      <w:proofErr w:type="spellStart"/>
      <w:r w:rsidRPr="00857370">
        <w:rPr>
          <w:highlight w:val="cyan"/>
        </w:rPr>
        <w:t>mesosulfuron</w:t>
      </w:r>
      <w:proofErr w:type="spellEnd"/>
      <w:r w:rsidRPr="00857370">
        <w:rPr>
          <w:highlight w:val="cyan"/>
        </w:rPr>
        <w:t>-methyl</w:t>
      </w:r>
      <w:bookmarkEnd w:id="192"/>
    </w:p>
    <w:p w:rsidR="00857370" w:rsidRPr="00857370" w:rsidRDefault="00857370" w:rsidP="00857370">
      <w:pPr>
        <w:ind w:left="10" w:right="-14" w:hanging="10"/>
        <w:jc w:val="both"/>
        <w:rPr>
          <w:highlight w:val="cyan"/>
        </w:rPr>
      </w:pPr>
      <w:bookmarkStart w:id="193" w:name="_Hlk150333785"/>
      <w:r w:rsidRPr="00857370">
        <w:rPr>
          <w:highlight w:val="cyan"/>
        </w:rPr>
        <w:t xml:space="preserve">The relevance of groundwater metabolite BCS-CV14885 </w:t>
      </w:r>
      <w:bookmarkEnd w:id="193"/>
      <w:r w:rsidRPr="00857370">
        <w:rPr>
          <w:highlight w:val="cyan"/>
        </w:rPr>
        <w:t xml:space="preserve">has already been assessed and accepted at EU level (see EFSA conclusion Section 4, and List of Endpoints for </w:t>
      </w:r>
      <w:proofErr w:type="spellStart"/>
      <w:r w:rsidRPr="00857370">
        <w:rPr>
          <w:highlight w:val="cyan"/>
        </w:rPr>
        <w:t>mesosulfuron</w:t>
      </w:r>
      <w:proofErr w:type="spellEnd"/>
      <w:r w:rsidRPr="00857370">
        <w:rPr>
          <w:highlight w:val="cyan"/>
        </w:rPr>
        <w:t xml:space="preserve">-methyl). Metabolite BCSCV14885 is </w:t>
      </w:r>
      <w:r w:rsidRPr="00857370">
        <w:rPr>
          <w:highlight w:val="cyan"/>
          <w:u w:val="single" w:color="000000"/>
        </w:rPr>
        <w:t>not</w:t>
      </w:r>
      <w:r w:rsidRPr="00857370">
        <w:rPr>
          <w:highlight w:val="cyan"/>
        </w:rPr>
        <w:t xml:space="preserve"> considered relevant according to the criteria laid down in the EC guidance document SANCO/221/2000 –rev.11. A summary of the relevance assessment is provided in Table 10.5-1.  </w:t>
      </w:r>
    </w:p>
    <w:p w:rsidR="00857370" w:rsidRPr="00857370" w:rsidRDefault="00857370" w:rsidP="00857370">
      <w:pPr>
        <w:spacing w:before="240"/>
        <w:ind w:left="10" w:right="-14" w:hanging="10"/>
        <w:jc w:val="both"/>
        <w:rPr>
          <w:highlight w:val="cyan"/>
        </w:rPr>
      </w:pPr>
      <w:r w:rsidRPr="00857370">
        <w:rPr>
          <w:highlight w:val="cyan"/>
        </w:rPr>
        <w:t xml:space="preserve">This agreed assessment is also applicable for the GAP and groundwater scenarios considered in this dRR as predicted metabolite concentrations were always &lt; 0.75 </w:t>
      </w:r>
      <w:proofErr w:type="spellStart"/>
      <w:r w:rsidRPr="00857370">
        <w:rPr>
          <w:highlight w:val="cyan"/>
        </w:rPr>
        <w:t>μg</w:t>
      </w:r>
      <w:proofErr w:type="spellEnd"/>
      <w:r w:rsidRPr="00857370">
        <w:rPr>
          <w:highlight w:val="cyan"/>
        </w:rPr>
        <w:t xml:space="preserve">/L. </w:t>
      </w:r>
    </w:p>
    <w:p w:rsidR="00857370" w:rsidRPr="00857370" w:rsidRDefault="00857370" w:rsidP="00857370">
      <w:pPr>
        <w:pStyle w:val="RepLabel"/>
        <w:suppressAutoHyphens/>
        <w:ind w:left="0" w:firstLine="0"/>
        <w:rPr>
          <w:highlight w:val="cyan"/>
        </w:rPr>
      </w:pPr>
      <w:r w:rsidRPr="00857370">
        <w:rPr>
          <w:highlight w:val="cyan"/>
        </w:rPr>
        <w:t>Table </w:t>
      </w:r>
      <w:r w:rsidRPr="00857370">
        <w:rPr>
          <w:highlight w:val="cyan"/>
        </w:rPr>
        <w:fldChar w:fldCharType="begin"/>
      </w:r>
      <w:r w:rsidRPr="00857370">
        <w:rPr>
          <w:highlight w:val="cyan"/>
        </w:rPr>
        <w:instrText xml:space="preserve"> STYLEREF 2 \s </w:instrText>
      </w:r>
      <w:r w:rsidRPr="00857370">
        <w:rPr>
          <w:highlight w:val="cyan"/>
        </w:rPr>
        <w:fldChar w:fldCharType="separate"/>
      </w:r>
      <w:r w:rsidRPr="00857370">
        <w:rPr>
          <w:noProof/>
          <w:highlight w:val="cyan"/>
        </w:rPr>
        <w:t>10.5</w:t>
      </w:r>
      <w:r w:rsidRPr="00857370">
        <w:rPr>
          <w:highlight w:val="cyan"/>
        </w:rPr>
        <w:fldChar w:fldCharType="end"/>
      </w:r>
      <w:r w:rsidRPr="00857370">
        <w:rPr>
          <w:highlight w:val="cyan"/>
        </w:rPr>
        <w:noBreakHyphen/>
      </w:r>
      <w:r w:rsidRPr="00857370">
        <w:rPr>
          <w:highlight w:val="cyan"/>
        </w:rPr>
        <w:fldChar w:fldCharType="begin"/>
      </w:r>
      <w:r w:rsidRPr="00857370">
        <w:rPr>
          <w:highlight w:val="cyan"/>
        </w:rPr>
        <w:instrText xml:space="preserve"> SEQ Table \* ARABIC \s 2 </w:instrText>
      </w:r>
      <w:r w:rsidRPr="00857370">
        <w:rPr>
          <w:highlight w:val="cyan"/>
        </w:rPr>
        <w:fldChar w:fldCharType="separate"/>
      </w:r>
      <w:r w:rsidRPr="00857370">
        <w:rPr>
          <w:noProof/>
          <w:highlight w:val="cyan"/>
        </w:rPr>
        <w:t>1</w:t>
      </w:r>
      <w:r w:rsidRPr="00857370">
        <w:rPr>
          <w:highlight w:val="cyan"/>
        </w:rPr>
        <w:fldChar w:fldCharType="end"/>
      </w:r>
      <w:r w:rsidRPr="00857370">
        <w:rPr>
          <w:highlight w:val="cyan"/>
        </w:rPr>
        <w:t>:</w:t>
      </w:r>
      <w:r w:rsidRPr="00857370">
        <w:rPr>
          <w:highlight w:val="cyan"/>
        </w:rPr>
        <w:tab/>
      </w:r>
      <w:r w:rsidRPr="00857370">
        <w:rPr>
          <w:bCs w:val="0"/>
          <w:highlight w:val="cyan"/>
        </w:rPr>
        <w:t xml:space="preserve">Summary of the relevance assessment for </w:t>
      </w:r>
      <w:r w:rsidRPr="00857370">
        <w:rPr>
          <w:highlight w:val="cyan"/>
          <w:lang w:val="en-US"/>
        </w:rPr>
        <w:t>BCS-CV14885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2"/>
        <w:gridCol w:w="1372"/>
        <w:gridCol w:w="1372"/>
        <w:gridCol w:w="2838"/>
        <w:gridCol w:w="2834"/>
      </w:tblGrid>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Assessment step</w:t>
            </w:r>
          </w:p>
        </w:tc>
        <w:tc>
          <w:tcPr>
            <w:tcW w:w="3034" w:type="pct"/>
            <w:gridSpan w:val="2"/>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pStyle w:val="RepTable"/>
              <w:suppressAutoHyphens/>
              <w:rPr>
                <w:highlight w:val="cyan"/>
              </w:rPr>
            </w:pPr>
            <w:r w:rsidRPr="00857370">
              <w:rPr>
                <w:b/>
                <w:noProof w:val="0"/>
                <w:highlight w:val="cyan"/>
              </w:rPr>
              <w:t xml:space="preserve">Result of assessment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vAlign w:val="center"/>
          </w:tcPr>
          <w:p w:rsidR="00857370" w:rsidRPr="00857370" w:rsidRDefault="00857370">
            <w:pPr>
              <w:suppressAutoHyphens/>
              <w:jc w:val="center"/>
              <w:rPr>
                <w:highlight w:val="cyan"/>
                <w:lang w:val="en-GB"/>
              </w:rPr>
            </w:pPr>
          </w:p>
        </w:tc>
        <w:tc>
          <w:tcPr>
            <w:tcW w:w="1467" w:type="pct"/>
            <w:gridSpan w:val="2"/>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b/>
                <w:noProof w:val="0"/>
                <w:highlight w:val="cyan"/>
              </w:rPr>
            </w:pPr>
            <w:r w:rsidRPr="00857370">
              <w:rPr>
                <w:highlight w:val="cyan"/>
              </w:rPr>
              <w:t xml:space="preserve">Non-relevance EU-agreed? </w:t>
            </w:r>
          </w:p>
        </w:tc>
        <w:tc>
          <w:tcPr>
            <w:tcW w:w="1518"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b/>
                <w:noProof w:val="0"/>
                <w:highlight w:val="cyan"/>
              </w:rPr>
            </w:pPr>
            <w:r w:rsidRPr="00857370">
              <w:rPr>
                <w:highlight w:val="cyan"/>
              </w:rPr>
              <w:t xml:space="preserve">Yes </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rPr>
                <w:highlight w:val="cyan"/>
              </w:rPr>
            </w:pPr>
            <w:r w:rsidRPr="00857370">
              <w:rPr>
                <w:sz w:val="20"/>
                <w:highlight w:val="cyan"/>
              </w:rPr>
              <w:t xml:space="preserve">Reference: </w:t>
            </w:r>
          </w:p>
          <w:p w:rsidR="00857370" w:rsidRPr="00857370" w:rsidRDefault="00857370">
            <w:pPr>
              <w:rPr>
                <w:highlight w:val="cyan"/>
              </w:rPr>
            </w:pPr>
            <w:r w:rsidRPr="00857370">
              <w:rPr>
                <w:sz w:val="20"/>
                <w:highlight w:val="cyan"/>
              </w:rPr>
              <w:t xml:space="preserve">EFSA conclusion and </w:t>
            </w:r>
            <w:proofErr w:type="spellStart"/>
            <w:r w:rsidRPr="00857370">
              <w:rPr>
                <w:sz w:val="20"/>
                <w:highlight w:val="cyan"/>
              </w:rPr>
              <w:t>LoEP</w:t>
            </w:r>
            <w:proofErr w:type="spellEnd"/>
            <w:r w:rsidRPr="00857370">
              <w:rPr>
                <w:sz w:val="20"/>
                <w:highlight w:val="cyan"/>
              </w:rPr>
              <w:t xml:space="preserve"> of </w:t>
            </w:r>
            <w:proofErr w:type="spellStart"/>
            <w:r w:rsidRPr="00857370">
              <w:rPr>
                <w:sz w:val="20"/>
                <w:highlight w:val="cyan"/>
              </w:rPr>
              <w:t>mesosulfuron</w:t>
            </w:r>
            <w:proofErr w:type="spellEnd"/>
            <w:r w:rsidRPr="00857370">
              <w:rPr>
                <w:sz w:val="20"/>
                <w:highlight w:val="cyan"/>
              </w:rPr>
              <w:t xml:space="preserve">,  </w:t>
            </w:r>
          </w:p>
          <w:p w:rsidR="00857370" w:rsidRPr="00857370" w:rsidRDefault="00857370">
            <w:pPr>
              <w:rPr>
                <w:highlight w:val="cyan"/>
              </w:rPr>
            </w:pPr>
            <w:r w:rsidRPr="00857370">
              <w:rPr>
                <w:sz w:val="20"/>
                <w:highlight w:val="cyan"/>
              </w:rPr>
              <w:t xml:space="preserve">EFSA Journal 2016;14(10):4584, Section 4 and Table 2;  </w:t>
            </w:r>
          </w:p>
          <w:p w:rsidR="00857370" w:rsidRPr="00857370" w:rsidRDefault="00857370">
            <w:pPr>
              <w:pStyle w:val="RepTable"/>
              <w:suppressAutoHyphens/>
              <w:rPr>
                <w:b/>
                <w:noProof w:val="0"/>
                <w:highlight w:val="cyan"/>
              </w:rPr>
            </w:pPr>
            <w:r w:rsidRPr="00857370">
              <w:rPr>
                <w:highlight w:val="cyan"/>
              </w:rPr>
              <w:t xml:space="preserve">EFSA Journal 2016;14(10):4584  </w:t>
            </w:r>
          </w:p>
        </w:tc>
      </w:tr>
      <w:tr w:rsidR="00857370" w:rsidRPr="00857370" w:rsidTr="00857370">
        <w:tc>
          <w:tcPr>
            <w:tcW w:w="498" w:type="pct"/>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STEP 1 </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Metabolite of no concern?</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lang w:val="en-IE"/>
              </w:rPr>
              <w:t>no</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Quantification of groundwater contamination</w:t>
            </w:r>
          </w:p>
        </w:tc>
        <w:tc>
          <w:tcPr>
            <w:tcW w:w="1467" w:type="pct"/>
            <w:gridSpan w:val="2"/>
            <w:vMerge w:val="restar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r w:rsidRPr="00857370">
              <w:rPr>
                <w:noProof w:val="0"/>
                <w:highlight w:val="cyan"/>
              </w:rPr>
              <w:t>STEP 2</w:t>
            </w:r>
          </w:p>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Max </w:t>
            </w:r>
            <w:proofErr w:type="spellStart"/>
            <w:r w:rsidRPr="00857370">
              <w:rPr>
                <w:noProof w:val="0"/>
                <w:highlight w:val="cyan"/>
              </w:rPr>
              <w:t>PEC</w:t>
            </w:r>
            <w:r w:rsidRPr="00857370">
              <w:rPr>
                <w:noProof w:val="0"/>
                <w:highlight w:val="cyan"/>
                <w:vertAlign w:val="subscript"/>
              </w:rPr>
              <w:t>gw</w:t>
            </w:r>
            <w:proofErr w:type="spellEnd"/>
            <w:r w:rsidRPr="00857370">
              <w:rPr>
                <w:noProof w:val="0"/>
                <w:highlight w:val="cyan"/>
                <w:vertAlign w:val="subscript"/>
              </w:rPr>
              <w:t xml:space="preserve">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Lysimeter, spring: 0.269 μg/L</w:t>
            </w:r>
          </w:p>
          <w:p w:rsidR="00857370" w:rsidRPr="00857370" w:rsidRDefault="00857370">
            <w:pPr>
              <w:pStyle w:val="RepTable"/>
              <w:suppressAutoHyphens/>
              <w:rPr>
                <w:highlight w:val="cyan"/>
              </w:rPr>
            </w:pPr>
            <w:r w:rsidRPr="00857370">
              <w:rPr>
                <w:highlight w:val="cyan"/>
              </w:rPr>
              <w:t>Lysimeter, autumn: 0.481 μg/L</w:t>
            </w:r>
          </w:p>
          <w:p w:rsidR="00857370" w:rsidRPr="00857370" w:rsidRDefault="00857370">
            <w:pPr>
              <w:pStyle w:val="RepTable"/>
              <w:suppressAutoHyphens/>
              <w:rPr>
                <w:highlight w:val="cyan"/>
              </w:rPr>
            </w:pPr>
            <w:r w:rsidRPr="00857370">
              <w:rPr>
                <w:highlight w:val="cyan"/>
              </w:rPr>
              <w:t>Simulation: 0.607µg/L</w:t>
            </w:r>
          </w:p>
        </w:tc>
      </w:tr>
      <w:tr w:rsidR="00857370" w:rsidRPr="00857370" w:rsidTr="00857370">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Based on </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rPr>
                <w:highlight w:val="cyan"/>
              </w:rPr>
            </w:pPr>
            <w:r w:rsidRPr="00857370">
              <w:rPr>
                <w:highlight w:val="cyan"/>
              </w:rPr>
              <w:t>Lysimeter: spring or autumn application of 2 × 15 g/ha, in consecutive years.</w:t>
            </w:r>
          </w:p>
          <w:p w:rsidR="00857370" w:rsidRPr="00857370" w:rsidRDefault="00857370">
            <w:pPr>
              <w:pStyle w:val="RepTable"/>
              <w:spacing w:before="240"/>
              <w:rPr>
                <w:highlight w:val="cyan"/>
              </w:rPr>
            </w:pPr>
            <w:r w:rsidRPr="00857370">
              <w:rPr>
                <w:highlight w:val="cyan"/>
              </w:rPr>
              <w:t>Simulation: FOCUS PEARL 5.5.5, Jokioinen</w:t>
            </w:r>
          </w:p>
          <w:p w:rsidR="00857370" w:rsidRPr="00857370" w:rsidRDefault="00857370">
            <w:pPr>
              <w:pStyle w:val="RepTable"/>
              <w:suppressAutoHyphens/>
              <w:rPr>
                <w:highlight w:val="cyan"/>
              </w:rPr>
            </w:pPr>
            <w:r w:rsidRPr="00857370">
              <w:rPr>
                <w:highlight w:val="cyan"/>
                <w:lang w:val="en-US"/>
              </w:rPr>
              <w:t>Winter cereals, End of winter to spring application</w:t>
            </w:r>
          </w:p>
        </w:tc>
      </w:tr>
      <w:tr w:rsidR="00857370" w:rsidRPr="00857370" w:rsidTr="00857370">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Hazard assessment</w:t>
            </w: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3</w:t>
            </w: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1</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Biological activity comparable to the parent?</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2</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Genotoxic properties of metabolite</w:t>
            </w:r>
          </w:p>
        </w:tc>
        <w:tc>
          <w:tcPr>
            <w:tcW w:w="1516"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highlight w:val="cyan"/>
              </w:rPr>
              <w:t>non-genotoxic</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734" w:type="pct"/>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Stage 3</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Toxic properties of metabolite;</w:t>
            </w:r>
          </w:p>
        </w:tc>
        <w:tc>
          <w:tcPr>
            <w:tcW w:w="1516" w:type="pct"/>
            <w:tcBorders>
              <w:top w:val="single" w:sz="4" w:space="0" w:color="auto"/>
              <w:left w:val="single" w:sz="4" w:space="0" w:color="auto"/>
              <w:bottom w:val="single" w:sz="4" w:space="0" w:color="auto"/>
              <w:right w:val="single" w:sz="4" w:space="0" w:color="auto"/>
            </w:tcBorders>
          </w:tcPr>
          <w:p w:rsidR="00857370" w:rsidRPr="00857370" w:rsidRDefault="00857370">
            <w:pPr>
              <w:pStyle w:val="RepTable"/>
              <w:suppressAutoHyphens/>
              <w:rPr>
                <w:highlight w:val="cyan"/>
              </w:rPr>
            </w:pP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Classification of parent </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No classification and labelling required with respect to toxicological profile </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Classification of metabolite</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None </w:t>
            </w:r>
          </w:p>
        </w:tc>
      </w:tr>
      <w:tr w:rsidR="00857370" w:rsidRPr="00857370" w:rsidTr="00857370">
        <w:trPr>
          <w:trHeight w:val="879"/>
        </w:trPr>
        <w:tc>
          <w:tcPr>
            <w:tcW w:w="49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57370" w:rsidRPr="00857370" w:rsidRDefault="00857370">
            <w:pPr>
              <w:pStyle w:val="RepTable"/>
              <w:suppressAutoHyphens/>
              <w:jc w:val="center"/>
              <w:rPr>
                <w:highlight w:val="cyan"/>
              </w:rPr>
            </w:pPr>
            <w:r w:rsidRPr="00857370">
              <w:rPr>
                <w:b/>
                <w:noProof w:val="0"/>
                <w:highlight w:val="cyan"/>
              </w:rPr>
              <w:t>Consumer health risk assessment</w:t>
            </w:r>
          </w:p>
        </w:tc>
        <w:tc>
          <w:tcPr>
            <w:tcW w:w="1467" w:type="pct"/>
            <w:gridSpan w:val="2"/>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4</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 xml:space="preserve">Estimated consumer exposure via drinking water and other sources; threshold of concern approach </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Acceptable (&lt;0.75 µg/L) </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vMerge w:val="restar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STEP 5</w:t>
            </w: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Refined risk assessment</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N/A* </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Predicted exposure (% of ADI)</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N/A* </w:t>
            </w:r>
          </w:p>
        </w:tc>
      </w:tr>
      <w:tr w:rsidR="00857370" w:rsidRPr="00857370" w:rsidTr="00857370">
        <w:tc>
          <w:tcPr>
            <w:tcW w:w="0" w:type="auto"/>
            <w:vMerge/>
            <w:tcBorders>
              <w:top w:val="single" w:sz="4" w:space="0" w:color="auto"/>
              <w:left w:val="single" w:sz="4" w:space="0" w:color="auto"/>
              <w:bottom w:val="single" w:sz="4" w:space="0" w:color="auto"/>
              <w:right w:val="single" w:sz="4" w:space="0" w:color="auto"/>
            </w:tcBorders>
            <w:vAlign w:val="center"/>
            <w:hideMark/>
          </w:tcPr>
          <w:p w:rsidR="00857370" w:rsidRPr="00857370" w:rsidRDefault="00857370">
            <w:pPr>
              <w:rPr>
                <w:noProof/>
                <w:sz w:val="20"/>
                <w:highlight w:val="cyan"/>
                <w:lang w:val="en-GB" w:eastAsia="pl-PL"/>
              </w:rPr>
            </w:pPr>
          </w:p>
        </w:tc>
        <w:tc>
          <w:tcPr>
            <w:tcW w:w="1467" w:type="pct"/>
            <w:gridSpan w:val="2"/>
            <w:tcBorders>
              <w:top w:val="single" w:sz="4" w:space="0" w:color="auto"/>
              <w:left w:val="single" w:sz="4" w:space="0" w:color="auto"/>
              <w:bottom w:val="single" w:sz="4" w:space="0" w:color="auto"/>
              <w:right w:val="single" w:sz="4" w:space="0" w:color="auto"/>
            </w:tcBorders>
          </w:tcPr>
          <w:p w:rsidR="00857370" w:rsidRPr="00857370" w:rsidRDefault="00857370">
            <w:pPr>
              <w:suppressAutoHyphens/>
              <w:rPr>
                <w:highlight w:val="cyan"/>
                <w:lang w:val="en-GB"/>
              </w:rPr>
            </w:pPr>
          </w:p>
        </w:tc>
        <w:tc>
          <w:tcPr>
            <w:tcW w:w="1518" w:type="pct"/>
            <w:tcBorders>
              <w:top w:val="single" w:sz="4" w:space="0" w:color="auto"/>
              <w:left w:val="single" w:sz="4" w:space="0" w:color="auto"/>
              <w:bottom w:val="single" w:sz="4" w:space="0" w:color="auto"/>
              <w:right w:val="single" w:sz="4" w:space="0" w:color="auto"/>
            </w:tcBorders>
            <w:hideMark/>
          </w:tcPr>
          <w:p w:rsidR="00857370" w:rsidRPr="00857370" w:rsidRDefault="00857370">
            <w:pPr>
              <w:pStyle w:val="RepTable"/>
              <w:suppressAutoHyphens/>
              <w:rPr>
                <w:highlight w:val="cyan"/>
              </w:rPr>
            </w:pPr>
            <w:r w:rsidRPr="00857370">
              <w:rPr>
                <w:noProof w:val="0"/>
                <w:highlight w:val="cyan"/>
              </w:rPr>
              <w:t>ADI based on</w:t>
            </w:r>
          </w:p>
        </w:tc>
        <w:tc>
          <w:tcPr>
            <w:tcW w:w="1516" w:type="pct"/>
            <w:tcBorders>
              <w:top w:val="single" w:sz="4" w:space="0" w:color="000000"/>
              <w:left w:val="single" w:sz="4" w:space="0" w:color="000000"/>
              <w:bottom w:val="single" w:sz="4" w:space="0" w:color="000000"/>
              <w:right w:val="single" w:sz="4" w:space="0" w:color="000000"/>
            </w:tcBorders>
            <w:hideMark/>
          </w:tcPr>
          <w:p w:rsidR="00857370" w:rsidRPr="00857370" w:rsidRDefault="00857370">
            <w:pPr>
              <w:pStyle w:val="RepTable"/>
              <w:suppressAutoHyphens/>
              <w:rPr>
                <w:highlight w:val="cyan"/>
              </w:rPr>
            </w:pPr>
            <w:r w:rsidRPr="00857370">
              <w:rPr>
                <w:highlight w:val="cyan"/>
              </w:rPr>
              <w:t xml:space="preserve">N/A* </w:t>
            </w:r>
          </w:p>
        </w:tc>
      </w:tr>
    </w:tbl>
    <w:p w:rsidR="00857370" w:rsidRPr="00857370" w:rsidRDefault="00857370" w:rsidP="00857370">
      <w:pPr>
        <w:pStyle w:val="RepTableFootnote"/>
        <w:suppressAutoHyphens/>
        <w:rPr>
          <w:highlight w:val="cyan"/>
          <w:lang w:val="en-GB" w:eastAsia="de-DE"/>
        </w:rPr>
      </w:pPr>
      <w:r w:rsidRPr="00857370">
        <w:rPr>
          <w:highlight w:val="cyan"/>
          <w:lang w:val="en-GB"/>
        </w:rPr>
        <w:lastRenderedPageBreak/>
        <w:t>*</w:t>
      </w:r>
      <w:r w:rsidRPr="00857370">
        <w:rPr>
          <w:highlight w:val="cyan"/>
          <w:lang w:val="en-GB"/>
        </w:rPr>
        <w:tab/>
        <w:t>N/A: not applicable</w:t>
      </w:r>
    </w:p>
    <w:p w:rsidR="00857370" w:rsidRPr="00857370" w:rsidRDefault="00857370" w:rsidP="00857370">
      <w:pPr>
        <w:pStyle w:val="RepStandard"/>
        <w:rPr>
          <w:highlight w:val="cyan"/>
        </w:rPr>
      </w:pPr>
    </w:p>
    <w:p w:rsidR="00857370" w:rsidRPr="00857370" w:rsidRDefault="00857370" w:rsidP="00857370">
      <w:pPr>
        <w:pStyle w:val="Nagwek3"/>
        <w:numPr>
          <w:ilvl w:val="2"/>
          <w:numId w:val="32"/>
        </w:numPr>
        <w:rPr>
          <w:highlight w:val="cyan"/>
        </w:rPr>
      </w:pPr>
      <w:bookmarkStart w:id="194" w:name="_Toc136590920"/>
      <w:bookmarkStart w:id="195" w:name="_Toc150777395"/>
      <w:r w:rsidRPr="00857370">
        <w:rPr>
          <w:highlight w:val="cyan"/>
        </w:rPr>
        <w:t>STEP 1: Exclusion of degradation products of no concern</w:t>
      </w:r>
      <w:bookmarkEnd w:id="194"/>
      <w:bookmarkEnd w:id="195"/>
    </w:p>
    <w:p w:rsidR="00857370" w:rsidRPr="00857370" w:rsidRDefault="00857370" w:rsidP="00857370">
      <w:pPr>
        <w:spacing w:after="498" w:line="247" w:lineRule="auto"/>
        <w:ind w:left="-5" w:hanging="10"/>
        <w:jc w:val="both"/>
        <w:rPr>
          <w:highlight w:val="cyan"/>
        </w:rPr>
      </w:pPr>
      <w:r w:rsidRPr="00857370">
        <w:rPr>
          <w:highlight w:val="cyan"/>
        </w:rPr>
        <w:t xml:space="preserve">BCS-CV14885 does not meet the criteria for products of no concern as defined in step 1 of the guidance and therefore needs further assessment. </w:t>
      </w:r>
    </w:p>
    <w:p w:rsidR="00857370" w:rsidRPr="00857370" w:rsidRDefault="00857370" w:rsidP="00857370">
      <w:pPr>
        <w:pStyle w:val="Nagwek3"/>
        <w:numPr>
          <w:ilvl w:val="2"/>
          <w:numId w:val="32"/>
        </w:numPr>
        <w:rPr>
          <w:highlight w:val="cyan"/>
        </w:rPr>
      </w:pPr>
      <w:bookmarkStart w:id="196" w:name="_Toc136590921"/>
      <w:bookmarkStart w:id="197" w:name="_Toc150777396"/>
      <w:r w:rsidRPr="00857370">
        <w:rPr>
          <w:highlight w:val="cyan"/>
        </w:rPr>
        <w:t>STEP 2: Quantification of potential groundwater contamination</w:t>
      </w:r>
      <w:bookmarkEnd w:id="196"/>
      <w:bookmarkEnd w:id="197"/>
    </w:p>
    <w:p w:rsidR="00857370" w:rsidRPr="00857370" w:rsidRDefault="00857370" w:rsidP="00857370">
      <w:pPr>
        <w:spacing w:after="498" w:line="247" w:lineRule="auto"/>
        <w:ind w:left="-5" w:hanging="10"/>
        <w:jc w:val="both"/>
        <w:rPr>
          <w:highlight w:val="cyan"/>
        </w:rPr>
      </w:pPr>
      <w:proofErr w:type="spellStart"/>
      <w:r w:rsidRPr="00857370">
        <w:rPr>
          <w:highlight w:val="cyan"/>
        </w:rPr>
        <w:t>PEC</w:t>
      </w:r>
      <w:r w:rsidRPr="00857370">
        <w:rPr>
          <w:highlight w:val="cyan"/>
          <w:vertAlign w:val="subscript"/>
        </w:rPr>
        <w:t>gw</w:t>
      </w:r>
      <w:proofErr w:type="spellEnd"/>
      <w:r w:rsidRPr="00857370">
        <w:rPr>
          <w:highlight w:val="cyan"/>
        </w:rPr>
        <w:t xml:space="preserve"> calculations after leaching from soil for BCS-CV14885 were performed, for details see Part B, Section 8, chapter 8.8. The overall maximum concentration of BCS-CV14885 from all assessed uses and scenarios is listed in Table 10.5-1.  </w:t>
      </w:r>
    </w:p>
    <w:p w:rsidR="00857370" w:rsidRPr="00857370" w:rsidRDefault="00857370" w:rsidP="00857370">
      <w:pPr>
        <w:pStyle w:val="Nagwek3"/>
        <w:numPr>
          <w:ilvl w:val="2"/>
          <w:numId w:val="32"/>
        </w:numPr>
        <w:rPr>
          <w:highlight w:val="cyan"/>
        </w:rPr>
      </w:pPr>
      <w:bookmarkStart w:id="198" w:name="_Toc136590922"/>
      <w:bookmarkStart w:id="199" w:name="_Toc150777397"/>
      <w:r w:rsidRPr="00857370">
        <w:rPr>
          <w:highlight w:val="cyan"/>
        </w:rPr>
        <w:t>STEP 3: Hazard assessment – identification of relevant metabolites</w:t>
      </w:r>
      <w:bookmarkEnd w:id="198"/>
      <w:bookmarkEnd w:id="199"/>
    </w:p>
    <w:p w:rsidR="00857370" w:rsidRPr="00857370" w:rsidRDefault="00857370" w:rsidP="00857370">
      <w:pPr>
        <w:pStyle w:val="Nagwek4"/>
        <w:numPr>
          <w:ilvl w:val="3"/>
          <w:numId w:val="32"/>
        </w:numPr>
        <w:suppressAutoHyphens/>
        <w:rPr>
          <w:highlight w:val="cyan"/>
          <w:lang w:val="en-GB"/>
        </w:rPr>
      </w:pPr>
      <w:bookmarkStart w:id="200" w:name="_Toc136590923"/>
      <w:bookmarkStart w:id="201" w:name="_Toc150777398"/>
      <w:r w:rsidRPr="00857370">
        <w:rPr>
          <w:highlight w:val="cyan"/>
          <w:lang w:val="en-GB"/>
        </w:rPr>
        <w:t>STEP 3, Stage 1: screening for biological activity</w:t>
      </w:r>
      <w:bookmarkEnd w:id="200"/>
      <w:bookmarkEnd w:id="201"/>
    </w:p>
    <w:p w:rsidR="00857370" w:rsidRPr="00857370" w:rsidRDefault="00857370" w:rsidP="00857370">
      <w:pPr>
        <w:spacing w:line="247" w:lineRule="auto"/>
        <w:ind w:left="-5" w:hanging="10"/>
        <w:jc w:val="both"/>
        <w:rPr>
          <w:highlight w:val="cyan"/>
        </w:rPr>
      </w:pPr>
      <w:r w:rsidRPr="00857370">
        <w:rPr>
          <w:highlight w:val="cyan"/>
        </w:rPr>
        <w:t xml:space="preserve">Metabolite BCS-CV14885 does not have comparable target activity as the parent active compound, as shown by biological screening data. BCS-CV14885 is considered not relevant and is further evaluated in Stage 2.  </w:t>
      </w:r>
    </w:p>
    <w:p w:rsidR="00857370" w:rsidRPr="00857370" w:rsidRDefault="00857370" w:rsidP="00857370">
      <w:pPr>
        <w:spacing w:before="240" w:after="498" w:line="247" w:lineRule="auto"/>
        <w:ind w:left="-5" w:hanging="10"/>
        <w:jc w:val="both"/>
        <w:rPr>
          <w:highlight w:val="cyan"/>
        </w:rPr>
      </w:pPr>
      <w:r w:rsidRPr="00857370">
        <w:rPr>
          <w:highlight w:val="cyan"/>
        </w:rPr>
        <w:t xml:space="preserve">The biological screening on the metabolite has been considered within the EU peer review process (cf. RAR of </w:t>
      </w:r>
      <w:proofErr w:type="spellStart"/>
      <w:r w:rsidRPr="00857370">
        <w:rPr>
          <w:highlight w:val="cyan"/>
        </w:rPr>
        <w:t>mesosulfuron</w:t>
      </w:r>
      <w:proofErr w:type="spellEnd"/>
      <w:r w:rsidRPr="00857370">
        <w:rPr>
          <w:highlight w:val="cyan"/>
        </w:rPr>
        <w:t xml:space="preserve">-methyl Vol.1, Level 2, Section 2.11.3.1). </w:t>
      </w:r>
    </w:p>
    <w:p w:rsidR="00857370" w:rsidRPr="00857370" w:rsidRDefault="00857370" w:rsidP="00857370">
      <w:pPr>
        <w:pStyle w:val="Nagwek4"/>
        <w:numPr>
          <w:ilvl w:val="3"/>
          <w:numId w:val="32"/>
        </w:numPr>
        <w:rPr>
          <w:highlight w:val="cyan"/>
        </w:rPr>
      </w:pPr>
      <w:bookmarkStart w:id="202" w:name="_Toc136590924"/>
      <w:bookmarkStart w:id="203" w:name="_Toc150777399"/>
      <w:r w:rsidRPr="00857370">
        <w:rPr>
          <w:highlight w:val="cyan"/>
        </w:rPr>
        <w:t>STEP 3, Stage 2: screening for genotoxicity</w:t>
      </w:r>
      <w:bookmarkEnd w:id="202"/>
      <w:bookmarkEnd w:id="203"/>
    </w:p>
    <w:p w:rsidR="00857370" w:rsidRPr="00857370" w:rsidRDefault="00857370" w:rsidP="00857370">
      <w:pPr>
        <w:spacing w:after="1" w:line="235" w:lineRule="auto"/>
        <w:ind w:left="-5" w:hanging="10"/>
        <w:jc w:val="both"/>
        <w:rPr>
          <w:highlight w:val="cyan"/>
        </w:rPr>
      </w:pPr>
      <w:r w:rsidRPr="00857370">
        <w:rPr>
          <w:highlight w:val="cyan"/>
        </w:rPr>
        <w:t xml:space="preserve">BCS-CV14885 was addressed for genotoxic activity by the following data package of </w:t>
      </w:r>
      <w:r w:rsidRPr="00857370">
        <w:rPr>
          <w:i/>
          <w:highlight w:val="cyan"/>
        </w:rPr>
        <w:t>in vitro</w:t>
      </w:r>
      <w:r w:rsidRPr="00857370">
        <w:rPr>
          <w:highlight w:val="cyan"/>
        </w:rPr>
        <w:t xml:space="preserve"> genotoxicity studies: Ames Test on </w:t>
      </w:r>
      <w:r w:rsidRPr="00857370">
        <w:rPr>
          <w:i/>
          <w:iCs/>
          <w:highlight w:val="cyan"/>
        </w:rPr>
        <w:t>Salmonella Typhimurium</w:t>
      </w:r>
      <w:r w:rsidRPr="00857370">
        <w:rPr>
          <w:highlight w:val="cyan"/>
        </w:rPr>
        <w:t xml:space="preserve">, Chromosomal aberrations in Chinese Hamster V79 cells, and Gene mutation (HPRT) in Chinese Hamster V79 cells. Negative results in all tests allowed to conclude that the metabolite BCS-CV14885 is devoid of genotoxic potential. (EFSA conclusion, Section 2). BCS-CV14885 is considered not relevant and is further evaluated in Stage 3.  </w:t>
      </w:r>
    </w:p>
    <w:p w:rsidR="00857370" w:rsidRPr="00857370" w:rsidRDefault="00857370" w:rsidP="00857370">
      <w:pPr>
        <w:spacing w:before="240" w:after="1" w:line="235" w:lineRule="auto"/>
        <w:ind w:left="-5" w:hanging="10"/>
        <w:jc w:val="both"/>
        <w:rPr>
          <w:highlight w:val="cyan"/>
        </w:rPr>
      </w:pPr>
      <w:r w:rsidRPr="00857370">
        <w:rPr>
          <w:highlight w:val="cyan"/>
        </w:rPr>
        <w:t xml:space="preserve">The genotoxicity studies have been evaluated within the EU peer review process (cf. RAR of </w:t>
      </w:r>
      <w:proofErr w:type="spellStart"/>
      <w:r w:rsidRPr="00857370">
        <w:rPr>
          <w:highlight w:val="cyan"/>
        </w:rPr>
        <w:t>mesosulfuron</w:t>
      </w:r>
      <w:proofErr w:type="spellEnd"/>
      <w:r w:rsidRPr="00857370">
        <w:rPr>
          <w:highlight w:val="cyan"/>
        </w:rPr>
        <w:t xml:space="preserve">-methyl Vol.1, Level 2, Section 2.11.3.2).  </w:t>
      </w:r>
    </w:p>
    <w:p w:rsidR="00857370" w:rsidRPr="00857370" w:rsidRDefault="00857370" w:rsidP="00857370">
      <w:pPr>
        <w:pStyle w:val="Nagwek4"/>
        <w:numPr>
          <w:ilvl w:val="3"/>
          <w:numId w:val="32"/>
        </w:numPr>
        <w:rPr>
          <w:highlight w:val="cyan"/>
        </w:rPr>
      </w:pPr>
      <w:bookmarkStart w:id="204" w:name="_Toc136590925"/>
      <w:bookmarkStart w:id="205" w:name="_Toc150777400"/>
      <w:r w:rsidRPr="00857370">
        <w:rPr>
          <w:highlight w:val="cyan"/>
        </w:rPr>
        <w:t>STEP 3, Stage 3: screening for toxicity</w:t>
      </w:r>
      <w:bookmarkEnd w:id="204"/>
      <w:bookmarkEnd w:id="205"/>
    </w:p>
    <w:p w:rsidR="00857370" w:rsidRPr="00857370" w:rsidRDefault="00857370" w:rsidP="00857370">
      <w:pPr>
        <w:spacing w:after="498" w:line="247" w:lineRule="auto"/>
        <w:ind w:left="-5" w:hanging="10"/>
        <w:jc w:val="both"/>
        <w:rPr>
          <w:highlight w:val="cyan"/>
        </w:rPr>
      </w:pPr>
      <w:r w:rsidRPr="00857370">
        <w:rPr>
          <w:highlight w:val="cyan"/>
        </w:rPr>
        <w:t xml:space="preserve">Parent compound </w:t>
      </w:r>
      <w:proofErr w:type="spellStart"/>
      <w:r w:rsidRPr="00857370">
        <w:rPr>
          <w:highlight w:val="cyan"/>
        </w:rPr>
        <w:t>mesosulfuron</w:t>
      </w:r>
      <w:proofErr w:type="spellEnd"/>
      <w:r w:rsidRPr="00857370">
        <w:rPr>
          <w:highlight w:val="cyan"/>
        </w:rPr>
        <w:t xml:space="preserve">-methyl is not classified as toxic or very toxic and has no classification for reproductive toxicity or carcinogenic properties. Consequently, according to Guidance Document </w:t>
      </w:r>
      <w:r w:rsidRPr="00857370">
        <w:rPr>
          <w:highlight w:val="cyan"/>
          <w:lang w:val="en-IE"/>
        </w:rPr>
        <w:t>Sanco/221/2000, rev.11, 21/10/2021</w:t>
      </w:r>
      <w:r w:rsidRPr="00857370">
        <w:rPr>
          <w:highlight w:val="cyan"/>
        </w:rPr>
        <w:t xml:space="preserve">, further toxicity testing with the metabolites is not required based on these criteria.  </w:t>
      </w:r>
    </w:p>
    <w:p w:rsidR="00857370" w:rsidRPr="00857370" w:rsidRDefault="00857370" w:rsidP="00857370">
      <w:pPr>
        <w:pStyle w:val="Nagwek3"/>
        <w:numPr>
          <w:ilvl w:val="2"/>
          <w:numId w:val="32"/>
        </w:numPr>
        <w:rPr>
          <w:highlight w:val="cyan"/>
        </w:rPr>
      </w:pPr>
      <w:bookmarkStart w:id="206" w:name="_Toc136590926"/>
      <w:bookmarkStart w:id="207" w:name="_Toc150777401"/>
      <w:r w:rsidRPr="00857370">
        <w:rPr>
          <w:highlight w:val="cyan"/>
        </w:rPr>
        <w:lastRenderedPageBreak/>
        <w:t>STEP 4: Exposure assessment – threshold of concern approach</w:t>
      </w:r>
      <w:bookmarkEnd w:id="206"/>
      <w:bookmarkEnd w:id="207"/>
    </w:p>
    <w:p w:rsidR="00857370" w:rsidRPr="00857370" w:rsidRDefault="00857370" w:rsidP="00857370">
      <w:pPr>
        <w:spacing w:after="498" w:line="247" w:lineRule="auto"/>
        <w:ind w:left="-5" w:hanging="10"/>
        <w:jc w:val="both"/>
        <w:rPr>
          <w:highlight w:val="cyan"/>
        </w:rPr>
      </w:pPr>
      <w:r w:rsidRPr="00857370">
        <w:rPr>
          <w:highlight w:val="cyan"/>
        </w:rPr>
        <w:t xml:space="preserve">The metabolite BCS-CV14885 did not reach or exceed the threshold level of 0.75 </w:t>
      </w:r>
      <w:proofErr w:type="spellStart"/>
      <w:r w:rsidRPr="00857370">
        <w:rPr>
          <w:highlight w:val="cyan"/>
        </w:rPr>
        <w:t>μg</w:t>
      </w:r>
      <w:proofErr w:type="spellEnd"/>
      <w:r w:rsidRPr="00857370">
        <w:rPr>
          <w:highlight w:val="cyan"/>
        </w:rPr>
        <w:t xml:space="preserve">/L. No relevant further route of consumer exposure applies for this component (cf. RAR of </w:t>
      </w:r>
      <w:proofErr w:type="spellStart"/>
      <w:r w:rsidRPr="00857370">
        <w:rPr>
          <w:highlight w:val="cyan"/>
        </w:rPr>
        <w:t>mesosulfuron</w:t>
      </w:r>
      <w:proofErr w:type="spellEnd"/>
      <w:r w:rsidRPr="00857370">
        <w:rPr>
          <w:highlight w:val="cyan"/>
        </w:rPr>
        <w:t>-methyl Vol.1, Level 2, Section 2.11.4).</w:t>
      </w:r>
      <w:r w:rsidRPr="00857370">
        <w:rPr>
          <w:sz w:val="20"/>
          <w:highlight w:val="cyan"/>
        </w:rPr>
        <w:t xml:space="preserve"> </w:t>
      </w:r>
    </w:p>
    <w:p w:rsidR="00857370" w:rsidRPr="00857370" w:rsidRDefault="00857370" w:rsidP="00857370">
      <w:pPr>
        <w:pStyle w:val="Nagwek3"/>
        <w:numPr>
          <w:ilvl w:val="2"/>
          <w:numId w:val="32"/>
        </w:numPr>
        <w:rPr>
          <w:highlight w:val="cyan"/>
        </w:rPr>
      </w:pPr>
      <w:bookmarkStart w:id="208" w:name="_Toc150777402"/>
      <w:bookmarkStart w:id="209" w:name="_Hlk150334154"/>
      <w:r w:rsidRPr="00857370">
        <w:rPr>
          <w:highlight w:val="cyan"/>
        </w:rPr>
        <w:t>STEP 5: refined risk assessment</w:t>
      </w:r>
      <w:bookmarkEnd w:id="208"/>
    </w:p>
    <w:p w:rsidR="00857370" w:rsidRPr="00857370" w:rsidRDefault="00857370" w:rsidP="00857370">
      <w:pPr>
        <w:spacing w:line="247" w:lineRule="auto"/>
        <w:ind w:left="-5" w:right="139" w:hanging="10"/>
        <w:jc w:val="both"/>
        <w:rPr>
          <w:highlight w:val="cyan"/>
        </w:rPr>
      </w:pPr>
      <w:r w:rsidRPr="00857370">
        <w:rPr>
          <w:highlight w:val="cyan"/>
        </w:rPr>
        <w:t xml:space="preserve">As metabolite BCS-CV14885 does not reach or exceed the threshold level of 0.75 </w:t>
      </w:r>
      <w:proofErr w:type="spellStart"/>
      <w:r w:rsidRPr="00857370">
        <w:rPr>
          <w:highlight w:val="cyan"/>
        </w:rPr>
        <w:t>μg</w:t>
      </w:r>
      <w:proofErr w:type="spellEnd"/>
      <w:r w:rsidRPr="00857370">
        <w:rPr>
          <w:highlight w:val="cyan"/>
        </w:rPr>
        <w:t xml:space="preserve">/L, a refined risk assessment is not necessary for this component (cf. RAR of </w:t>
      </w:r>
      <w:proofErr w:type="spellStart"/>
      <w:r w:rsidRPr="00857370">
        <w:rPr>
          <w:highlight w:val="cyan"/>
        </w:rPr>
        <w:t>mesosulfuron</w:t>
      </w:r>
      <w:proofErr w:type="spellEnd"/>
      <w:r w:rsidRPr="00857370">
        <w:rPr>
          <w:highlight w:val="cyan"/>
        </w:rPr>
        <w:t xml:space="preserve">-methyl Vol.1, Level 2, Section 2.11.5). </w:t>
      </w:r>
    </w:p>
    <w:p w:rsidR="00857370" w:rsidRPr="00857370" w:rsidRDefault="00857370" w:rsidP="00857370">
      <w:pPr>
        <w:pStyle w:val="RepStandard"/>
        <w:rPr>
          <w:highlight w:val="cyan"/>
        </w:rPr>
      </w:pPr>
    </w:p>
    <w:bookmarkEnd w:id="209"/>
    <w:p w:rsidR="00857370" w:rsidRPr="00857370" w:rsidRDefault="00857370" w:rsidP="00857370">
      <w:pPr>
        <w:pStyle w:val="RepStandard"/>
        <w:spacing w:before="240" w:after="240"/>
        <w:rPr>
          <w:b/>
          <w:bCs/>
          <w:highlight w:val="cyan"/>
        </w:rPr>
      </w:pPr>
      <w:r w:rsidRPr="00857370">
        <w:rPr>
          <w:b/>
          <w:bCs/>
          <w:highlight w:val="cyan"/>
        </w:rPr>
        <w:t xml:space="preserve">Overall Conclusion </w:t>
      </w:r>
    </w:p>
    <w:p w:rsidR="00857370" w:rsidRPr="00857370" w:rsidRDefault="00857370" w:rsidP="00857370">
      <w:pPr>
        <w:spacing w:line="247" w:lineRule="auto"/>
        <w:ind w:left="-5" w:hanging="10"/>
        <w:jc w:val="both"/>
        <w:rPr>
          <w:highlight w:val="cyan"/>
        </w:rPr>
      </w:pPr>
      <w:r w:rsidRPr="00857370">
        <w:rPr>
          <w:highlight w:val="cyan"/>
        </w:rPr>
        <w:t xml:space="preserve">As the metabolites of </w:t>
      </w:r>
      <w:proofErr w:type="spellStart"/>
      <w:r w:rsidRPr="00857370">
        <w:rPr>
          <w:highlight w:val="cyan"/>
        </w:rPr>
        <w:t>iodosulfuron</w:t>
      </w:r>
      <w:proofErr w:type="spellEnd"/>
      <w:r w:rsidRPr="00857370">
        <w:rPr>
          <w:highlight w:val="cyan"/>
        </w:rPr>
        <w:t xml:space="preserve">-methyl-sodium in soil are not expected to occur during loading of groundwater at concentrations above 0.1 µg / L for the intended uses of the product and therefore have no toxicological significance, therefore, their evaluation in accordance with the staged procedure contained in the EC Guideline </w:t>
      </w:r>
      <w:r w:rsidRPr="00857370">
        <w:rPr>
          <w:highlight w:val="cyan"/>
          <w:lang w:val="en-IE"/>
        </w:rPr>
        <w:t xml:space="preserve">SANCO/221/2000, rev.11 </w:t>
      </w:r>
      <w:r w:rsidRPr="00857370">
        <w:rPr>
          <w:highlight w:val="cyan"/>
        </w:rPr>
        <w:t xml:space="preserve">is not required. </w:t>
      </w:r>
    </w:p>
    <w:p w:rsidR="00857370" w:rsidRPr="00857370" w:rsidRDefault="00857370" w:rsidP="00857370">
      <w:pPr>
        <w:spacing w:before="240" w:line="247" w:lineRule="auto"/>
        <w:ind w:left="-5" w:hanging="10"/>
        <w:jc w:val="both"/>
        <w:rPr>
          <w:highlight w:val="cyan"/>
        </w:rPr>
      </w:pPr>
      <w:r w:rsidRPr="00857370">
        <w:rPr>
          <w:highlight w:val="cyan"/>
        </w:rPr>
        <w:t xml:space="preserve">Because metabolites AE F160459, AE F160460, AE F147447 and BCSCV14885 </w:t>
      </w:r>
      <w:proofErr w:type="spellStart"/>
      <w:r w:rsidRPr="00857370">
        <w:rPr>
          <w:highlight w:val="cyan"/>
        </w:rPr>
        <w:t>mesosulfuron</w:t>
      </w:r>
      <w:proofErr w:type="spellEnd"/>
      <w:r w:rsidRPr="00857370">
        <w:rPr>
          <w:highlight w:val="cyan"/>
        </w:rPr>
        <w:t xml:space="preserve">-methyl are expected to occur during groundwater recharging at concentrations above 0.1 µg / L, therefore the significance of these metabolites has been assessed in accordance with the gradual procedure in the EC guidelines </w:t>
      </w:r>
      <w:r w:rsidRPr="00857370">
        <w:rPr>
          <w:highlight w:val="cyan"/>
          <w:lang w:val="en-IE"/>
        </w:rPr>
        <w:t>SANCO/221/2000, rev.11</w:t>
      </w:r>
      <w:r w:rsidRPr="00857370">
        <w:rPr>
          <w:highlight w:val="cyan"/>
        </w:rPr>
        <w:t xml:space="preserve">. </w:t>
      </w:r>
    </w:p>
    <w:p w:rsidR="00857370" w:rsidRPr="00857370" w:rsidRDefault="00857370" w:rsidP="00857370">
      <w:pPr>
        <w:spacing w:before="240" w:line="247" w:lineRule="auto"/>
        <w:ind w:left="-5" w:hanging="10"/>
        <w:jc w:val="both"/>
        <w:rPr>
          <w:highlight w:val="cyan"/>
        </w:rPr>
      </w:pPr>
      <w:r w:rsidRPr="00857370">
        <w:rPr>
          <w:highlight w:val="cyan"/>
        </w:rPr>
        <w:t>The importance of the AE F160459, AE F160460, AE F147447, BCS-CV14885 groundwater metabolites have already been assessed and accepted at EU level.  The metabolite AE F160459, AE F160460, AE F147447, BCS-CV14885 are not considered to be toxicologically relevant according to the criteria in EC Guideline SANCO / 221/2000 – rev. 11.</w:t>
      </w:r>
    </w:p>
    <w:p w:rsidR="00857370" w:rsidRDefault="00857370" w:rsidP="00857370">
      <w:pPr>
        <w:spacing w:before="240" w:after="498" w:line="247" w:lineRule="auto"/>
        <w:ind w:left="-5" w:hanging="10"/>
        <w:jc w:val="both"/>
      </w:pPr>
      <w:r w:rsidRPr="00857370">
        <w:rPr>
          <w:highlight w:val="cyan"/>
        </w:rPr>
        <w:t xml:space="preserve">Since none of the </w:t>
      </w:r>
      <w:proofErr w:type="spellStart"/>
      <w:r w:rsidRPr="00857370">
        <w:rPr>
          <w:highlight w:val="cyan"/>
        </w:rPr>
        <w:t>mefenpyr</w:t>
      </w:r>
      <w:proofErr w:type="spellEnd"/>
      <w:r w:rsidRPr="00857370">
        <w:rPr>
          <w:highlight w:val="cyan"/>
        </w:rPr>
        <w:t>-diethyl metabolites in soil is expected to occur in the recharge of groundwater at concentrations above 0.1 µg / L for the intended uses of the product, there is no justification for substantive assessment of these metabolites according to the gradual procedure contained in the EC document SANCO / 221/2000 –rev.11.</w:t>
      </w:r>
      <w:r>
        <w:t xml:space="preserve"> </w:t>
      </w:r>
    </w:p>
    <w:p w:rsidR="003C1E83" w:rsidRPr="001B5B15" w:rsidRDefault="003C1E83" w:rsidP="003C1E83">
      <w:pPr>
        <w:spacing w:before="240" w:after="498" w:line="248" w:lineRule="auto"/>
        <w:ind w:left="-5" w:hanging="10"/>
        <w:jc w:val="both"/>
        <w:rPr>
          <w:sz w:val="24"/>
          <w:szCs w:val="24"/>
          <w:highlight w:val="lightGray"/>
        </w:rPr>
      </w:pPr>
      <w:r w:rsidRPr="001B5B15">
        <w:rPr>
          <w:b/>
          <w:sz w:val="28"/>
          <w:szCs w:val="28"/>
          <w:highlight w:val="lightGray"/>
        </w:rPr>
        <w:t>A</w:t>
      </w:r>
      <w:r>
        <w:rPr>
          <w:b/>
          <w:sz w:val="28"/>
          <w:szCs w:val="28"/>
          <w:highlight w:val="lightGray"/>
        </w:rPr>
        <w:t>CC</w:t>
      </w:r>
      <w:r w:rsidRPr="001B5B15">
        <w:rPr>
          <w:b/>
          <w:sz w:val="28"/>
          <w:szCs w:val="28"/>
          <w:highlight w:val="lightGray"/>
        </w:rPr>
        <w:t>EPTED</w:t>
      </w:r>
      <w:r>
        <w:rPr>
          <w:b/>
          <w:sz w:val="28"/>
          <w:szCs w:val="28"/>
        </w:rPr>
        <w:t xml:space="preserve">                                                                                                                  </w:t>
      </w:r>
      <w:r w:rsidRPr="001B5B15">
        <w:rPr>
          <w:sz w:val="24"/>
          <w:szCs w:val="24"/>
          <w:highlight w:val="lightGray"/>
        </w:rPr>
        <w:t>The importance of the AE F160459, AE F160460, AE F147447, BCS-CV14885 groundwater metabolites have already been assessed and accepted at EU level.  The metabolite AE F160459, AE F160460, AE F147447, BCS-CV14885 are not considered to be toxicologically relevant according to the criteria in EC Guideline SANCO / 221/2000 – rev. 11.</w:t>
      </w:r>
    </w:p>
    <w:p w:rsidR="00857370" w:rsidRDefault="00857370" w:rsidP="00857370">
      <w:pPr>
        <w:spacing w:after="498" w:line="247" w:lineRule="auto"/>
        <w:ind w:left="-5" w:hanging="10"/>
        <w:jc w:val="both"/>
      </w:pPr>
    </w:p>
    <w:p w:rsidR="00857370" w:rsidRDefault="00857370" w:rsidP="00857370">
      <w:pPr>
        <w:pStyle w:val="RepStandard"/>
      </w:pPr>
    </w:p>
    <w:p w:rsidR="00857370" w:rsidRDefault="00857370" w:rsidP="00857370">
      <w:pPr>
        <w:rPr>
          <w:rFonts w:eastAsia="Calibri"/>
        </w:rPr>
        <w:sectPr w:rsidR="00857370" w:rsidSect="00857370">
          <w:pgSz w:w="11909" w:h="16834"/>
          <w:pgMar w:top="1417" w:right="1134" w:bottom="1134" w:left="1417" w:header="709" w:footer="142" w:gutter="0"/>
          <w:pgNumType w:chapSep="period"/>
          <w:cols w:space="708"/>
        </w:sectPr>
      </w:pPr>
    </w:p>
    <w:bookmarkEnd w:id="0"/>
    <w:bookmarkEnd w:id="1"/>
    <w:bookmarkEnd w:id="2"/>
    <w:bookmarkEnd w:id="3"/>
    <w:p w:rsidR="00857370" w:rsidRDefault="00857370" w:rsidP="00857370">
      <w:pPr>
        <w:pStyle w:val="RepAppendix1"/>
        <w:numPr>
          <w:ilvl w:val="0"/>
          <w:numId w:val="36"/>
        </w:numPr>
      </w:pPr>
      <w:r>
        <w:lastRenderedPageBreak/>
        <w:t xml:space="preserve"> </w:t>
      </w:r>
      <w:bookmarkStart w:id="210" w:name="_Toc412025992"/>
      <w:bookmarkStart w:id="211" w:name="_Toc413754723"/>
      <w:bookmarkStart w:id="212" w:name="_Toc413755124"/>
      <w:bookmarkStart w:id="213" w:name="_Toc413755150"/>
      <w:bookmarkStart w:id="214" w:name="_Toc413755175"/>
      <w:bookmarkStart w:id="215" w:name="_Toc413941051"/>
      <w:bookmarkStart w:id="216" w:name="_Toc413943201"/>
      <w:bookmarkStart w:id="217" w:name="_Toc414542750"/>
      <w:bookmarkStart w:id="218" w:name="_Toc414545000"/>
      <w:bookmarkStart w:id="219" w:name="_Toc414545027"/>
      <w:bookmarkStart w:id="220" w:name="_Toc414608135"/>
      <w:bookmarkStart w:id="221" w:name="_Toc415230189"/>
      <w:bookmarkStart w:id="222" w:name="_Toc150777403"/>
      <w:r>
        <w:t>Lists of data considered in support of the evaluation</w:t>
      </w:r>
      <w:bookmarkEnd w:id="210"/>
      <w:bookmarkEnd w:id="211"/>
      <w:bookmarkEnd w:id="212"/>
      <w:bookmarkEnd w:id="213"/>
      <w:bookmarkEnd w:id="214"/>
      <w:bookmarkEnd w:id="215"/>
      <w:bookmarkEnd w:id="216"/>
      <w:bookmarkEnd w:id="217"/>
      <w:bookmarkEnd w:id="218"/>
      <w:bookmarkEnd w:id="219"/>
      <w:bookmarkEnd w:id="220"/>
      <w:bookmarkEnd w:id="221"/>
      <w:bookmarkEnd w:id="222"/>
    </w:p>
    <w:p w:rsidR="00857370" w:rsidRDefault="00857370" w:rsidP="00857370">
      <w:pPr>
        <w:pStyle w:val="RepEditorNotesMS"/>
      </w:pPr>
      <w:r>
        <w:rPr>
          <w:rStyle w:val="RepEditorNote"/>
        </w:rPr>
        <w:t>Tables considered not relevant can be deleted as appropriate.</w:t>
      </w:r>
    </w:p>
    <w:p w:rsidR="00857370" w:rsidRDefault="00857370" w:rsidP="00857370">
      <w:pPr>
        <w:pStyle w:val="RepEditorNotesMS"/>
      </w:pPr>
      <w:r>
        <w:t>MS to blacken authors of vertebrate studies in the version made available to third parties/public.</w:t>
      </w:r>
    </w:p>
    <w:p w:rsidR="00857370" w:rsidRDefault="00857370" w:rsidP="00857370">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857370" w:rsidTr="00857370">
        <w:trPr>
          <w:tblHeader/>
        </w:trPr>
        <w:tc>
          <w:tcPr>
            <w:tcW w:w="351"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Data point</w:t>
            </w:r>
          </w:p>
        </w:tc>
        <w:tc>
          <w:tcPr>
            <w:tcW w:w="639"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Author(s)</w:t>
            </w:r>
          </w:p>
        </w:tc>
        <w:tc>
          <w:tcPr>
            <w:tcW w:w="272"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Year</w:t>
            </w:r>
          </w:p>
        </w:tc>
        <w:tc>
          <w:tcPr>
            <w:tcW w:w="2952"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Vertebrate study</w:t>
            </w:r>
          </w:p>
          <w:p w:rsidR="00857370" w:rsidRDefault="00857370">
            <w:pPr>
              <w:pStyle w:val="RepTableHeader"/>
              <w:jc w:val="center"/>
              <w:rPr>
                <w:lang w:val="en-GB"/>
              </w:rPr>
            </w:pPr>
            <w:r>
              <w:rPr>
                <w:lang w:val="en-GB"/>
              </w:rPr>
              <w:t>Y/N</w:t>
            </w:r>
          </w:p>
        </w:tc>
        <w:tc>
          <w:tcPr>
            <w:tcW w:w="442"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Owner</w:t>
            </w:r>
          </w:p>
        </w:tc>
      </w:tr>
      <w:tr w:rsidR="00857370" w:rsidTr="00857370">
        <w:tc>
          <w:tcPr>
            <w:tcW w:w="351"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2"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52"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44"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2"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r w:rsidR="00857370" w:rsidTr="00857370">
        <w:tc>
          <w:tcPr>
            <w:tcW w:w="351"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2"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52"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44"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2"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bl>
    <w:p w:rsidR="00857370" w:rsidRDefault="00857370" w:rsidP="00857370">
      <w:pPr>
        <w:pStyle w:val="RepStandard"/>
        <w:rPr>
          <w:lang w:eastAsia="de-DE"/>
        </w:rPr>
      </w:pPr>
    </w:p>
    <w:p w:rsidR="00857370" w:rsidRDefault="00857370" w:rsidP="00857370">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857370" w:rsidTr="00857370">
        <w:trPr>
          <w:tblHeader/>
        </w:trPr>
        <w:tc>
          <w:tcPr>
            <w:tcW w:w="348"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Data point</w:t>
            </w:r>
          </w:p>
        </w:tc>
        <w:tc>
          <w:tcPr>
            <w:tcW w:w="636"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Author(s)</w:t>
            </w:r>
          </w:p>
        </w:tc>
        <w:tc>
          <w:tcPr>
            <w:tcW w:w="27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Year</w:t>
            </w:r>
          </w:p>
        </w:tc>
        <w:tc>
          <w:tcPr>
            <w:tcW w:w="2949"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Vertebrate study</w:t>
            </w:r>
          </w:p>
          <w:p w:rsidR="00857370" w:rsidRDefault="00857370">
            <w:pPr>
              <w:pStyle w:val="RepTableHeader"/>
              <w:jc w:val="center"/>
              <w:rPr>
                <w:lang w:val="en-GB"/>
              </w:rPr>
            </w:pPr>
            <w:r>
              <w:rPr>
                <w:lang w:val="en-GB"/>
              </w:rPr>
              <w:t>Y/N</w:t>
            </w:r>
          </w:p>
        </w:tc>
        <w:tc>
          <w:tcPr>
            <w:tcW w:w="44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Owner</w:t>
            </w: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bl>
    <w:p w:rsidR="00857370" w:rsidRDefault="00857370" w:rsidP="00857370">
      <w:pPr>
        <w:pStyle w:val="RepStandard"/>
        <w:rPr>
          <w:lang w:eastAsia="de-DE"/>
        </w:rPr>
      </w:pPr>
    </w:p>
    <w:p w:rsidR="00857370" w:rsidRDefault="00857370" w:rsidP="00857370">
      <w:pPr>
        <w:pStyle w:val="RepEditorNotesMS"/>
      </w:pPr>
      <w:r>
        <w:t>The following tables are to be completed by MS</w:t>
      </w:r>
    </w:p>
    <w:p w:rsidR="00857370" w:rsidRDefault="00857370" w:rsidP="00857370">
      <w:pPr>
        <w:pStyle w:val="RepNewPart"/>
      </w:pPr>
      <w: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857370" w:rsidTr="00857370">
        <w:trPr>
          <w:tblHeader/>
        </w:trPr>
        <w:tc>
          <w:tcPr>
            <w:tcW w:w="348"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Data point</w:t>
            </w:r>
          </w:p>
        </w:tc>
        <w:tc>
          <w:tcPr>
            <w:tcW w:w="636"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Author(s)</w:t>
            </w:r>
          </w:p>
        </w:tc>
        <w:tc>
          <w:tcPr>
            <w:tcW w:w="27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Year</w:t>
            </w:r>
          </w:p>
        </w:tc>
        <w:tc>
          <w:tcPr>
            <w:tcW w:w="2949"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Vertebrate study</w:t>
            </w:r>
          </w:p>
          <w:p w:rsidR="00857370" w:rsidRDefault="00857370">
            <w:pPr>
              <w:pStyle w:val="RepTableHeader"/>
              <w:jc w:val="center"/>
              <w:rPr>
                <w:lang w:val="en-GB"/>
              </w:rPr>
            </w:pPr>
            <w:r>
              <w:rPr>
                <w:lang w:val="en-GB"/>
              </w:rPr>
              <w:t>Y/N</w:t>
            </w:r>
          </w:p>
        </w:tc>
        <w:tc>
          <w:tcPr>
            <w:tcW w:w="44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Owner</w:t>
            </w: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bl>
    <w:p w:rsidR="00857370" w:rsidRDefault="00857370" w:rsidP="00857370">
      <w:pPr>
        <w:pStyle w:val="RepStandard"/>
        <w:rPr>
          <w:lang w:eastAsia="de-DE"/>
        </w:rPr>
      </w:pPr>
    </w:p>
    <w:p w:rsidR="00857370" w:rsidRDefault="00857370" w:rsidP="00857370">
      <w:pPr>
        <w:pStyle w:val="RepNewPart"/>
      </w:pPr>
      <w: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857370" w:rsidTr="00857370">
        <w:trPr>
          <w:tblHeader/>
        </w:trPr>
        <w:tc>
          <w:tcPr>
            <w:tcW w:w="348"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Data point</w:t>
            </w:r>
          </w:p>
        </w:tc>
        <w:tc>
          <w:tcPr>
            <w:tcW w:w="636"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Author(s)</w:t>
            </w:r>
          </w:p>
        </w:tc>
        <w:tc>
          <w:tcPr>
            <w:tcW w:w="27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Year</w:t>
            </w:r>
          </w:p>
        </w:tc>
        <w:tc>
          <w:tcPr>
            <w:tcW w:w="2949"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Vertebrate study</w:t>
            </w:r>
          </w:p>
          <w:p w:rsidR="00857370" w:rsidRDefault="00857370">
            <w:pPr>
              <w:pStyle w:val="RepTableHeader"/>
              <w:jc w:val="center"/>
              <w:rPr>
                <w:lang w:val="en-GB"/>
              </w:rPr>
            </w:pPr>
            <w:r>
              <w:rPr>
                <w:lang w:val="en-GB"/>
              </w:rPr>
              <w:t>Y/N</w:t>
            </w:r>
          </w:p>
        </w:tc>
        <w:tc>
          <w:tcPr>
            <w:tcW w:w="440" w:type="pct"/>
            <w:tcBorders>
              <w:top w:val="single" w:sz="4" w:space="0" w:color="auto"/>
              <w:left w:val="single" w:sz="4" w:space="0" w:color="auto"/>
              <w:bottom w:val="single" w:sz="4" w:space="0" w:color="auto"/>
              <w:right w:val="single" w:sz="4" w:space="0" w:color="auto"/>
            </w:tcBorders>
            <w:vAlign w:val="center"/>
            <w:hideMark/>
          </w:tcPr>
          <w:p w:rsidR="00857370" w:rsidRDefault="00857370">
            <w:pPr>
              <w:pStyle w:val="RepTableHeader"/>
              <w:jc w:val="center"/>
              <w:rPr>
                <w:lang w:val="en-GB"/>
              </w:rPr>
            </w:pPr>
            <w:r>
              <w:rPr>
                <w:lang w:val="en-GB"/>
              </w:rPr>
              <w:t>Owner</w:t>
            </w: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r w:rsidR="00857370" w:rsidTr="00857370">
        <w:tc>
          <w:tcPr>
            <w:tcW w:w="348"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636"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27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2949" w:type="pct"/>
            <w:tcBorders>
              <w:top w:val="single" w:sz="4" w:space="0" w:color="auto"/>
              <w:left w:val="single" w:sz="4" w:space="0" w:color="auto"/>
              <w:bottom w:val="single" w:sz="4" w:space="0" w:color="auto"/>
              <w:right w:val="single" w:sz="4" w:space="0" w:color="auto"/>
            </w:tcBorders>
          </w:tcPr>
          <w:p w:rsidR="00857370" w:rsidRDefault="00857370">
            <w:pPr>
              <w:pStyle w:val="RepTable"/>
            </w:pPr>
          </w:p>
        </w:tc>
        <w:tc>
          <w:tcPr>
            <w:tcW w:w="357"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c>
          <w:tcPr>
            <w:tcW w:w="440" w:type="pct"/>
            <w:tcBorders>
              <w:top w:val="single" w:sz="4" w:space="0" w:color="auto"/>
              <w:left w:val="single" w:sz="4" w:space="0" w:color="auto"/>
              <w:bottom w:val="single" w:sz="4" w:space="0" w:color="auto"/>
              <w:right w:val="single" w:sz="4" w:space="0" w:color="auto"/>
            </w:tcBorders>
          </w:tcPr>
          <w:p w:rsidR="00857370" w:rsidRDefault="00857370">
            <w:pPr>
              <w:pStyle w:val="RepTable"/>
              <w:jc w:val="center"/>
            </w:pPr>
          </w:p>
        </w:tc>
      </w:tr>
    </w:tbl>
    <w:p w:rsidR="00857370" w:rsidRDefault="00857370" w:rsidP="00857370">
      <w:pPr>
        <w:pStyle w:val="RepStandard"/>
        <w:rPr>
          <w:sz w:val="20"/>
          <w:lang w:eastAsia="de-DE"/>
        </w:rPr>
      </w:pPr>
    </w:p>
    <w:p w:rsidR="00857370" w:rsidRDefault="00857370" w:rsidP="00857370">
      <w:pPr>
        <w:rPr>
          <w:b/>
          <w:sz w:val="28"/>
          <w:lang w:val="en-GB" w:eastAsia="en-US"/>
        </w:rPr>
        <w:sectPr w:rsidR="00857370" w:rsidSect="00857370">
          <w:pgSz w:w="16834" w:h="11909" w:orient="landscape"/>
          <w:pgMar w:top="1417" w:right="1134" w:bottom="1134" w:left="1134" w:header="709" w:footer="142" w:gutter="0"/>
          <w:pgNumType w:chapSep="period"/>
          <w:cols w:space="708"/>
        </w:sectPr>
      </w:pPr>
    </w:p>
    <w:p w:rsidR="00857370" w:rsidRDefault="00857370" w:rsidP="00857370">
      <w:pPr>
        <w:pStyle w:val="RepAppendix1"/>
        <w:numPr>
          <w:ilvl w:val="0"/>
          <w:numId w:val="36"/>
        </w:numPr>
      </w:pPr>
      <w:bookmarkStart w:id="223" w:name="_Toc412025993"/>
      <w:bookmarkStart w:id="224" w:name="_Toc413754724"/>
      <w:bookmarkStart w:id="225" w:name="_Toc413755125"/>
      <w:bookmarkStart w:id="226" w:name="_Toc413755151"/>
      <w:bookmarkStart w:id="227" w:name="_Toc413755176"/>
      <w:bookmarkStart w:id="228" w:name="_Toc413941052"/>
      <w:bookmarkStart w:id="229" w:name="_Toc413943202"/>
      <w:bookmarkStart w:id="230" w:name="_Toc414542751"/>
      <w:bookmarkStart w:id="231" w:name="_Toc414545001"/>
      <w:bookmarkStart w:id="232" w:name="_Toc414545028"/>
      <w:bookmarkStart w:id="233" w:name="_Toc414608136"/>
      <w:bookmarkStart w:id="234" w:name="_Ref415227364"/>
      <w:bookmarkStart w:id="235" w:name="_Ref415227881"/>
      <w:bookmarkStart w:id="236" w:name="_Toc415230190"/>
      <w:bookmarkStart w:id="237" w:name="_Toc150777404"/>
      <w:bookmarkStart w:id="238" w:name="_Toc231647950"/>
      <w:bookmarkStart w:id="239" w:name="_Toc233107966"/>
      <w:bookmarkStart w:id="240" w:name="_Toc236451825"/>
      <w:bookmarkStart w:id="241" w:name="_Toc240627025"/>
      <w:r>
        <w:lastRenderedPageBreak/>
        <w:t>Additional information</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 xml:space="preserve"> </w:t>
      </w:r>
      <w:bookmarkEnd w:id="238"/>
      <w:bookmarkEnd w:id="239"/>
      <w:bookmarkEnd w:id="240"/>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 w:type="dxa"/>
          <w:right w:w="10" w:type="dxa"/>
        </w:tblCellMar>
        <w:tblLook w:val="01E0" w:firstRow="1" w:lastRow="1" w:firstColumn="1" w:lastColumn="1" w:noHBand="0" w:noVBand="0"/>
      </w:tblPr>
      <w:tblGrid>
        <w:gridCol w:w="2045"/>
        <w:gridCol w:w="7303"/>
      </w:tblGrid>
      <w:tr w:rsidR="00857370" w:rsidRPr="00857370" w:rsidTr="00857370">
        <w:tc>
          <w:tcPr>
            <w:tcW w:w="1094" w:type="pct"/>
            <w:tcBorders>
              <w:top w:val="single" w:sz="4" w:space="0" w:color="auto"/>
              <w:left w:val="single" w:sz="4" w:space="0" w:color="auto"/>
              <w:bottom w:val="single" w:sz="4" w:space="0" w:color="auto"/>
              <w:right w:val="single" w:sz="4" w:space="0" w:color="auto"/>
            </w:tcBorders>
            <w:shd w:val="clear" w:color="auto" w:fill="D9D9D9"/>
            <w:hideMark/>
          </w:tcPr>
          <w:p w:rsidR="00857370" w:rsidRDefault="00857370">
            <w:pPr>
              <w:pStyle w:val="RepStandard"/>
            </w:pPr>
            <w:r>
              <w:t>Comments of zRMS:</w:t>
            </w:r>
          </w:p>
        </w:tc>
        <w:tc>
          <w:tcPr>
            <w:tcW w:w="3906" w:type="pct"/>
            <w:tcBorders>
              <w:top w:val="single" w:sz="4" w:space="0" w:color="auto"/>
              <w:left w:val="single" w:sz="4" w:space="0" w:color="auto"/>
              <w:bottom w:val="single" w:sz="4" w:space="0" w:color="auto"/>
              <w:right w:val="single" w:sz="4" w:space="0" w:color="auto"/>
            </w:tcBorders>
            <w:shd w:val="clear" w:color="auto" w:fill="D9D9D9"/>
            <w:hideMark/>
          </w:tcPr>
          <w:p w:rsidR="00857370" w:rsidRDefault="00857370">
            <w:pPr>
              <w:pStyle w:val="RepStandard"/>
            </w:pPr>
            <w:r>
              <w:t>Comment on statement; acceptable or not.</w:t>
            </w:r>
          </w:p>
        </w:tc>
      </w:tr>
    </w:tbl>
    <w:p w:rsidR="00857370" w:rsidRDefault="00857370" w:rsidP="00857370">
      <w:pPr>
        <w:pStyle w:val="RepStandard"/>
        <w:spacing w:before="240"/>
        <w:rPr>
          <w:lang w:eastAsia="de-DE"/>
        </w:rPr>
      </w:pPr>
      <w:r>
        <w:t>No additional information is provided.</w:t>
      </w:r>
    </w:p>
    <w:p w:rsidR="00324AB8" w:rsidRPr="00166BAB" w:rsidRDefault="00324AB8" w:rsidP="00324AB8">
      <w:pPr>
        <w:pStyle w:val="RepStandard"/>
      </w:pPr>
    </w:p>
    <w:sectPr w:rsidR="00324AB8" w:rsidRPr="00166BAB" w:rsidSect="00166BAB">
      <w:headerReference w:type="even" r:id="rId68"/>
      <w:headerReference w:type="first" r:id="rId69"/>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381" w:rsidRDefault="007F0381">
      <w:r>
        <w:separator/>
      </w:r>
    </w:p>
  </w:endnote>
  <w:endnote w:type="continuationSeparator" w:id="0">
    <w:p w:rsidR="007F0381" w:rsidRDefault="007F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CA" w:rsidRDefault="00D728CA" w:rsidP="00166B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27A13">
      <w:rPr>
        <w:rStyle w:val="Numerstrony"/>
        <w:noProof/>
      </w:rPr>
      <w:t>5</w:t>
    </w:r>
    <w:r>
      <w:rPr>
        <w:rStyle w:val="Numerstrony"/>
      </w:rPr>
      <w:fldChar w:fldCharType="end"/>
    </w:r>
  </w:p>
  <w:p w:rsidR="00D728CA" w:rsidRDefault="00D728CA"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381" w:rsidRDefault="007F0381">
      <w:r>
        <w:separator/>
      </w:r>
    </w:p>
  </w:footnote>
  <w:footnote w:type="continuationSeparator" w:id="0">
    <w:p w:rsidR="007F0381" w:rsidRDefault="007F0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CA" w:rsidRPr="005517AA" w:rsidRDefault="00D728CA" w:rsidP="00EE68A7">
    <w:pPr>
      <w:pStyle w:val="RepPageHeader"/>
      <w:framePr w:w="2500" w:h="363" w:wrap="notBeside" w:vAnchor="text" w:hAnchor="margin" w:xAlign="right" w:yAlign="inside" w:anchorLock="1"/>
      <w:jc w:val="right"/>
      <w:rPr>
        <w:rStyle w:val="Numerstrony"/>
        <w:szCs w:val="20"/>
      </w:rPr>
    </w:pPr>
    <w:r w:rsidRPr="005517AA">
      <w:rPr>
        <w:noProof/>
        <w:szCs w:val="20"/>
      </w:rPr>
      <w:t xml:space="preserve">Page </w:t>
    </w:r>
    <w:r w:rsidRPr="005517AA">
      <w:rPr>
        <w:rStyle w:val="Numerstrony"/>
        <w:noProof/>
        <w:szCs w:val="20"/>
      </w:rPr>
      <w:t xml:space="preserve"> </w:t>
    </w:r>
    <w:r w:rsidRPr="005517AA">
      <w:rPr>
        <w:rStyle w:val="Numerstrony"/>
        <w:noProof/>
        <w:szCs w:val="20"/>
      </w:rPr>
      <w:fldChar w:fldCharType="begin"/>
    </w:r>
    <w:r w:rsidRPr="005517AA">
      <w:rPr>
        <w:rStyle w:val="Numerstrony"/>
        <w:noProof/>
        <w:szCs w:val="20"/>
      </w:rPr>
      <w:instrText xml:space="preserve"> PAGE  \* Arabic </w:instrText>
    </w:r>
    <w:r w:rsidRPr="005517AA">
      <w:rPr>
        <w:rStyle w:val="Numerstrony"/>
        <w:noProof/>
        <w:szCs w:val="20"/>
      </w:rPr>
      <w:fldChar w:fldCharType="separate"/>
    </w:r>
    <w:r w:rsidR="00F62E46">
      <w:rPr>
        <w:rStyle w:val="Numerstrony"/>
        <w:noProof/>
        <w:szCs w:val="20"/>
      </w:rPr>
      <w:t>7</w:t>
    </w:r>
    <w:r w:rsidRPr="005517AA">
      <w:rPr>
        <w:rStyle w:val="Numerstrony"/>
        <w:noProof/>
        <w:szCs w:val="20"/>
      </w:rPr>
      <w:fldChar w:fldCharType="end"/>
    </w:r>
    <w:r w:rsidRPr="005517AA">
      <w:rPr>
        <w:rStyle w:val="Numerstrony"/>
        <w:noProof/>
        <w:szCs w:val="20"/>
      </w:rPr>
      <w:t xml:space="preserve"> /</w:t>
    </w:r>
    <w:r w:rsidRPr="005517AA">
      <w:rPr>
        <w:rStyle w:val="Numerstrony"/>
        <w:szCs w:val="20"/>
      </w:rPr>
      <w:fldChar w:fldCharType="begin"/>
    </w:r>
    <w:r w:rsidRPr="005517AA">
      <w:rPr>
        <w:rStyle w:val="Numerstrony"/>
        <w:szCs w:val="20"/>
      </w:rPr>
      <w:instrText xml:space="preserve"> NUMPAGES </w:instrText>
    </w:r>
    <w:r w:rsidRPr="005517AA">
      <w:rPr>
        <w:rStyle w:val="Numerstrony"/>
        <w:szCs w:val="20"/>
      </w:rPr>
      <w:fldChar w:fldCharType="separate"/>
    </w:r>
    <w:r w:rsidR="00F62E46">
      <w:rPr>
        <w:rStyle w:val="Numerstrony"/>
        <w:noProof/>
        <w:szCs w:val="20"/>
      </w:rPr>
      <w:t>22</w:t>
    </w:r>
    <w:r w:rsidRPr="005517AA">
      <w:rPr>
        <w:rStyle w:val="Numerstrony"/>
        <w:szCs w:val="20"/>
      </w:rPr>
      <w:fldChar w:fldCharType="end"/>
    </w:r>
    <w:r w:rsidRPr="005517AA">
      <w:rPr>
        <w:rStyle w:val="Numerstrony"/>
        <w:szCs w:val="20"/>
      </w:rPr>
      <w:br/>
    </w:r>
    <w:r w:rsidR="004A69FE" w:rsidRPr="005517AA">
      <w:rPr>
        <w:szCs w:val="20"/>
        <w:lang w:val="en-US"/>
      </w:rPr>
      <w:t>Template for chemical PPP</w:t>
    </w:r>
    <w:r w:rsidR="004A69FE" w:rsidRPr="005517AA">
      <w:rPr>
        <w:szCs w:val="20"/>
        <w:lang w:val="en-US"/>
      </w:rPr>
      <w:br/>
      <w:t xml:space="preserve">Version </w:t>
    </w:r>
    <w:r w:rsidR="0017673B" w:rsidRPr="005517AA">
      <w:rPr>
        <w:szCs w:val="20"/>
        <w:lang w:val="en-US"/>
      </w:rPr>
      <w:t>Q1 2023</w:t>
    </w:r>
  </w:p>
  <w:p w:rsidR="000955B0" w:rsidRPr="005517AA" w:rsidRDefault="0017673B" w:rsidP="000955B0">
    <w:pPr>
      <w:pStyle w:val="RepPageHeader"/>
      <w:rPr>
        <w:szCs w:val="20"/>
      </w:rPr>
    </w:pPr>
    <w:r w:rsidRPr="005517AA">
      <w:rPr>
        <w:szCs w:val="20"/>
      </w:rPr>
      <w:t xml:space="preserve">054-01-05 </w:t>
    </w:r>
    <w:r w:rsidR="000955B0" w:rsidRPr="005517AA">
      <w:rPr>
        <w:szCs w:val="20"/>
      </w:rPr>
      <w:t xml:space="preserve">/ </w:t>
    </w:r>
    <w:r w:rsidRPr="005517AA">
      <w:rPr>
        <w:szCs w:val="20"/>
      </w:rPr>
      <w:t>Meso-</w:t>
    </w:r>
    <w:proofErr w:type="spellStart"/>
    <w:r w:rsidRPr="005517AA">
      <w:rPr>
        <w:szCs w:val="20"/>
      </w:rPr>
      <w:t>Iodo</w:t>
    </w:r>
    <w:proofErr w:type="spellEnd"/>
    <w:r w:rsidRPr="005517AA">
      <w:rPr>
        <w:szCs w:val="20"/>
      </w:rPr>
      <w:t xml:space="preserve"> OD-Life</w:t>
    </w:r>
  </w:p>
  <w:p w:rsidR="00D728CA" w:rsidRPr="005517AA" w:rsidRDefault="00D728CA" w:rsidP="00473FB0">
    <w:pPr>
      <w:pStyle w:val="RepPageHeader"/>
      <w:pBdr>
        <w:bottom w:val="single" w:sz="4" w:space="1" w:color="auto"/>
      </w:pBdr>
      <w:rPr>
        <w:szCs w:val="20"/>
      </w:rPr>
    </w:pPr>
    <w:r w:rsidRPr="005517AA">
      <w:rPr>
        <w:szCs w:val="20"/>
      </w:rPr>
      <w:t>Part B – Section 10 - Core Assessment</w:t>
    </w:r>
  </w:p>
  <w:p w:rsidR="00D728CA" w:rsidRPr="005517AA" w:rsidRDefault="00D728CA" w:rsidP="00D54364">
    <w:pPr>
      <w:pStyle w:val="RepPageHeader"/>
      <w:pBdr>
        <w:bottom w:val="single" w:sz="4" w:space="1" w:color="auto"/>
      </w:pBdr>
      <w:rPr>
        <w:szCs w:val="20"/>
      </w:rPr>
    </w:pPr>
    <w:r w:rsidRPr="005517AA">
      <w:rPr>
        <w:szCs w:val="20"/>
      </w:rPr>
      <w:t>Applicant version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CA" w:rsidRDefault="00D728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CA" w:rsidRDefault="00D728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7004C072"/>
    <w:lvl w:ilvl="0">
      <w:start w:val="1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9E66DA"/>
    <w:multiLevelType w:val="multilevel"/>
    <w:tmpl w:val="B860CAF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9930F3"/>
    <w:multiLevelType w:val="multilevel"/>
    <w:tmpl w:val="9F643AD2"/>
    <w:name w:val="dRRAppendix33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E6A6F85"/>
    <w:multiLevelType w:val="multilevel"/>
    <w:tmpl w:val="7B120352"/>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AF4AFD"/>
    <w:multiLevelType w:val="hybridMultilevel"/>
    <w:tmpl w:val="41A24EEC"/>
    <w:lvl w:ilvl="0" w:tplc="E4C0314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CC4F0C"/>
    <w:multiLevelType w:val="multilevel"/>
    <w:tmpl w:val="9FD8A3D8"/>
    <w:lvl w:ilvl="0">
      <w:start w:val="8"/>
      <w:numFmt w:val="decimal"/>
      <w:lvlRestart w:val="0"/>
      <w:lvlText w:val="%1"/>
      <w:lvlJc w:val="left"/>
      <w:pPr>
        <w:tabs>
          <w:tab w:val="num" w:pos="1440"/>
        </w:tabs>
        <w:ind w:left="1440" w:hanging="1440"/>
      </w:pPr>
      <w:rPr>
        <w:rFonts w:cs="Times New Roman" w:hint="default"/>
      </w:rPr>
    </w:lvl>
    <w:lvl w:ilvl="1">
      <w:start w:val="1"/>
      <w:numFmt w:val="decimal"/>
      <w:lvlText w:val="IIIA %1.%2"/>
      <w:lvlJc w:val="left"/>
      <w:pPr>
        <w:tabs>
          <w:tab w:val="num" w:pos="1440"/>
        </w:tabs>
        <w:ind w:left="1440" w:hanging="1440"/>
      </w:pPr>
      <w:rPr>
        <w:rFonts w:cs="Times New Roman" w:hint="default"/>
      </w:rPr>
    </w:lvl>
    <w:lvl w:ilvl="2">
      <w:start w:val="1"/>
      <w:numFmt w:val="decimal"/>
      <w:lvlText w:val="IIIA %1.%2.%3"/>
      <w:lvlJc w:val="left"/>
      <w:pPr>
        <w:tabs>
          <w:tab w:val="num" w:pos="1440"/>
        </w:tabs>
        <w:ind w:left="1440" w:hanging="1440"/>
      </w:pPr>
      <w:rPr>
        <w:rFonts w:cs="Times New Roman" w:hint="default"/>
      </w:rPr>
    </w:lvl>
    <w:lvl w:ilvl="3">
      <w:start w:val="1"/>
      <w:numFmt w:val="decimal"/>
      <w:lvlText w:val="IIIA %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5281D76"/>
    <w:multiLevelType w:val="hybridMultilevel"/>
    <w:tmpl w:val="FA18EE54"/>
    <w:lvl w:ilvl="0" w:tplc="B86A622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B73DAF"/>
    <w:multiLevelType w:val="hybridMultilevel"/>
    <w:tmpl w:val="80B4223E"/>
    <w:lvl w:ilvl="0" w:tplc="04070001">
      <w:start w:val="1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CF0102"/>
    <w:multiLevelType w:val="multilevel"/>
    <w:tmpl w:val="B3CA0272"/>
    <w:lvl w:ilvl="0">
      <w:start w:val="10"/>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E7488"/>
    <w:multiLevelType w:val="multilevel"/>
    <w:tmpl w:val="10F87FF8"/>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2"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7E828E3"/>
    <w:multiLevelType w:val="hybridMultilevel"/>
    <w:tmpl w:val="877AF55E"/>
    <w:lvl w:ilvl="0" w:tplc="78224F60">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CA564BA"/>
    <w:multiLevelType w:val="hybridMultilevel"/>
    <w:tmpl w:val="E88CD04E"/>
    <w:lvl w:ilvl="0" w:tplc="04070005">
      <w:start w:val="1"/>
      <w:numFmt w:val="bullet"/>
      <w:lvlText w:val=""/>
      <w:lvlJc w:val="left"/>
      <w:pPr>
        <w:tabs>
          <w:tab w:val="num" w:pos="1068"/>
        </w:tabs>
        <w:ind w:left="1068" w:hanging="360"/>
      </w:pPr>
      <w:rPr>
        <w:rFonts w:ascii="Wingdings" w:hAnsi="Wingdings" w:hint="default"/>
      </w:rPr>
    </w:lvl>
    <w:lvl w:ilvl="1" w:tplc="04070003" w:tentative="1">
      <w:start w:val="1"/>
      <w:numFmt w:val="bullet"/>
      <w:lvlText w:val="o"/>
      <w:lvlJc w:val="left"/>
      <w:pPr>
        <w:tabs>
          <w:tab w:val="num" w:pos="528"/>
        </w:tabs>
        <w:ind w:left="528" w:hanging="360"/>
      </w:pPr>
      <w:rPr>
        <w:rFonts w:ascii="Courier New" w:hAnsi="Courier New" w:hint="default"/>
      </w:rPr>
    </w:lvl>
    <w:lvl w:ilvl="2" w:tplc="04070005" w:tentative="1">
      <w:start w:val="1"/>
      <w:numFmt w:val="bullet"/>
      <w:lvlText w:val=""/>
      <w:lvlJc w:val="left"/>
      <w:pPr>
        <w:tabs>
          <w:tab w:val="num" w:pos="1248"/>
        </w:tabs>
        <w:ind w:left="1248" w:hanging="360"/>
      </w:pPr>
      <w:rPr>
        <w:rFonts w:ascii="Wingdings" w:hAnsi="Wingdings" w:hint="default"/>
      </w:rPr>
    </w:lvl>
    <w:lvl w:ilvl="3" w:tplc="04070001" w:tentative="1">
      <w:start w:val="1"/>
      <w:numFmt w:val="bullet"/>
      <w:lvlText w:val=""/>
      <w:lvlJc w:val="left"/>
      <w:pPr>
        <w:tabs>
          <w:tab w:val="num" w:pos="1968"/>
        </w:tabs>
        <w:ind w:left="1968" w:hanging="360"/>
      </w:pPr>
      <w:rPr>
        <w:rFonts w:ascii="Symbol" w:hAnsi="Symbol" w:hint="default"/>
      </w:rPr>
    </w:lvl>
    <w:lvl w:ilvl="4" w:tplc="04070003" w:tentative="1">
      <w:start w:val="1"/>
      <w:numFmt w:val="bullet"/>
      <w:lvlText w:val="o"/>
      <w:lvlJc w:val="left"/>
      <w:pPr>
        <w:tabs>
          <w:tab w:val="num" w:pos="2688"/>
        </w:tabs>
        <w:ind w:left="2688" w:hanging="360"/>
      </w:pPr>
      <w:rPr>
        <w:rFonts w:ascii="Courier New" w:hAnsi="Courier New" w:hint="default"/>
      </w:rPr>
    </w:lvl>
    <w:lvl w:ilvl="5" w:tplc="04070005" w:tentative="1">
      <w:start w:val="1"/>
      <w:numFmt w:val="bullet"/>
      <w:lvlText w:val=""/>
      <w:lvlJc w:val="left"/>
      <w:pPr>
        <w:tabs>
          <w:tab w:val="num" w:pos="3408"/>
        </w:tabs>
        <w:ind w:left="3408" w:hanging="360"/>
      </w:pPr>
      <w:rPr>
        <w:rFonts w:ascii="Wingdings" w:hAnsi="Wingdings" w:hint="default"/>
      </w:rPr>
    </w:lvl>
    <w:lvl w:ilvl="6" w:tplc="04070001" w:tentative="1">
      <w:start w:val="1"/>
      <w:numFmt w:val="bullet"/>
      <w:lvlText w:val=""/>
      <w:lvlJc w:val="left"/>
      <w:pPr>
        <w:tabs>
          <w:tab w:val="num" w:pos="4128"/>
        </w:tabs>
        <w:ind w:left="4128" w:hanging="360"/>
      </w:pPr>
      <w:rPr>
        <w:rFonts w:ascii="Symbol" w:hAnsi="Symbol" w:hint="default"/>
      </w:rPr>
    </w:lvl>
    <w:lvl w:ilvl="7" w:tplc="04070003" w:tentative="1">
      <w:start w:val="1"/>
      <w:numFmt w:val="bullet"/>
      <w:lvlText w:val="o"/>
      <w:lvlJc w:val="left"/>
      <w:pPr>
        <w:tabs>
          <w:tab w:val="num" w:pos="4848"/>
        </w:tabs>
        <w:ind w:left="4848" w:hanging="360"/>
      </w:pPr>
      <w:rPr>
        <w:rFonts w:ascii="Courier New" w:hAnsi="Courier New" w:hint="default"/>
      </w:rPr>
    </w:lvl>
    <w:lvl w:ilvl="8" w:tplc="04070005" w:tentative="1">
      <w:start w:val="1"/>
      <w:numFmt w:val="bullet"/>
      <w:lvlText w:val=""/>
      <w:lvlJc w:val="left"/>
      <w:pPr>
        <w:tabs>
          <w:tab w:val="num" w:pos="5568"/>
        </w:tabs>
        <w:ind w:left="5568" w:hanging="360"/>
      </w:pPr>
      <w:rPr>
        <w:rFonts w:ascii="Wingdings" w:hAnsi="Wingdings" w:hint="default"/>
      </w:rPr>
    </w:lvl>
  </w:abstractNum>
  <w:abstractNum w:abstractNumId="27"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8" w15:restartNumberingAfterBreak="0">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81130AB"/>
    <w:multiLevelType w:val="multilevel"/>
    <w:tmpl w:val="9A287C7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B2A005E"/>
    <w:multiLevelType w:val="multilevel"/>
    <w:tmpl w:val="174C1738"/>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C815444"/>
    <w:multiLevelType w:val="hybridMultilevel"/>
    <w:tmpl w:val="D97CF884"/>
    <w:lvl w:ilvl="0" w:tplc="25684EE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3" w15:restartNumberingAfterBreak="0">
    <w:nsid w:val="6CD15A0E"/>
    <w:multiLevelType w:val="hybridMultilevel"/>
    <w:tmpl w:val="21DAFD8E"/>
    <w:lvl w:ilvl="0" w:tplc="708E5C06">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4"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20"/>
  </w:num>
  <w:num w:numId="8">
    <w:abstractNumId w:val="27"/>
  </w:num>
  <w:num w:numId="9">
    <w:abstractNumId w:val="10"/>
  </w:num>
  <w:num w:numId="10">
    <w:abstractNumId w:val="23"/>
  </w:num>
  <w:num w:numId="11">
    <w:abstractNumId w:val="35"/>
  </w:num>
  <w:num w:numId="12">
    <w:abstractNumId w:val="13"/>
  </w:num>
  <w:num w:numId="13">
    <w:abstractNumId w:val="16"/>
  </w:num>
  <w:num w:numId="14">
    <w:abstractNumId w:val="28"/>
  </w:num>
  <w:num w:numId="15">
    <w:abstractNumId w:val="19"/>
  </w:num>
  <w:num w:numId="16">
    <w:abstractNumId w:val="26"/>
  </w:num>
  <w:num w:numId="17">
    <w:abstractNumId w:val="29"/>
  </w:num>
  <w:num w:numId="18">
    <w:abstractNumId w:val="31"/>
  </w:num>
  <w:num w:numId="19">
    <w:abstractNumId w:val="8"/>
  </w:num>
  <w:num w:numId="20">
    <w:abstractNumId w:val="18"/>
  </w:num>
  <w:num w:numId="21">
    <w:abstractNumId w:val="22"/>
  </w:num>
  <w:num w:numId="22">
    <w:abstractNumId w:val="6"/>
  </w:num>
  <w:num w:numId="23">
    <w:abstractNumId w:val="32"/>
  </w:num>
  <w:num w:numId="24">
    <w:abstractNumId w:val="33"/>
  </w:num>
  <w:num w:numId="25">
    <w:abstractNumId w:val="14"/>
  </w:num>
  <w:num w:numId="26">
    <w:abstractNumId w:val="17"/>
  </w:num>
  <w:num w:numId="27">
    <w:abstractNumId w:val="24"/>
  </w:num>
  <w:num w:numId="28">
    <w:abstractNumId w:val="3"/>
    <w:lvlOverride w:ilvl="0"/>
  </w:num>
  <w:num w:numId="29">
    <w:abstractNumId w:val="2"/>
    <w:lvlOverride w:ilvl="0"/>
  </w:num>
  <w:num w:numId="30">
    <w:abstractNumId w:val="1"/>
    <w:lvlOverride w:ilvl="0"/>
  </w:num>
  <w:num w:numId="31">
    <w:abstractNumId w:val="0"/>
    <w:lvlOverride w:ilvl="0"/>
  </w:num>
  <w:num w:numId="32">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lvlOverride w:ilvl="2"/>
    <w:lvlOverride w:ilvl="3"/>
    <w:lvlOverride w:ilvl="4"/>
    <w:lvlOverride w:ilvl="5"/>
    <w:lvlOverride w:ilvl="6"/>
    <w:lvlOverride w:ilvl="7"/>
    <w:lvlOverride w:ilvl="8"/>
  </w:num>
  <w:num w:numId="34">
    <w:abstractNumId w:val="33"/>
    <w:lvlOverride w:ilvl="0"/>
    <w:lvlOverride w:ilvl="1"/>
    <w:lvlOverride w:ilvl="2"/>
    <w:lvlOverride w:ilvl="3"/>
    <w:lvlOverride w:ilvl="4"/>
    <w:lvlOverride w:ilvl="5"/>
    <w:lvlOverride w:ilvl="6"/>
    <w:lvlOverride w:ilvl="7"/>
    <w:lvlOverride w:ilvl="8"/>
  </w:num>
  <w:num w:numId="35">
    <w:abstractNumId w:val="14"/>
    <w:lvlOverride w:ilvl="0"/>
    <w:lvlOverride w:ilvl="1"/>
    <w:lvlOverride w:ilvl="2"/>
    <w:lvlOverride w:ilvl="3"/>
    <w:lvlOverride w:ilvl="4"/>
    <w:lvlOverride w:ilvl="5"/>
    <w:lvlOverride w:ilvl="6"/>
    <w:lvlOverride w:ilvl="7"/>
    <w:lvlOverride w:ilvl="8"/>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activeWritingStyle w:appName="MSWord" w:lang="en-GB" w:vendorID="64" w:dllVersion="0" w:nlCheck="1" w:checkStyle="0"/>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autoFormatOverride/>
  <w:defaultTabStop w:val="708"/>
  <w:hyphenationZone w:val="420"/>
  <w:drawingGridHorizontalSpacing w:val="171"/>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679"/>
    <w:rsid w:val="00003496"/>
    <w:rsid w:val="00004A86"/>
    <w:rsid w:val="0001403A"/>
    <w:rsid w:val="00025B66"/>
    <w:rsid w:val="00026CF9"/>
    <w:rsid w:val="0003152E"/>
    <w:rsid w:val="00034E90"/>
    <w:rsid w:val="000411E1"/>
    <w:rsid w:val="00043E31"/>
    <w:rsid w:val="000468DA"/>
    <w:rsid w:val="00055F26"/>
    <w:rsid w:val="00066E4A"/>
    <w:rsid w:val="00076C6D"/>
    <w:rsid w:val="000955B0"/>
    <w:rsid w:val="00097271"/>
    <w:rsid w:val="000A4BC8"/>
    <w:rsid w:val="000C6C56"/>
    <w:rsid w:val="000F12AD"/>
    <w:rsid w:val="000F4CAA"/>
    <w:rsid w:val="00101323"/>
    <w:rsid w:val="00107278"/>
    <w:rsid w:val="0012195F"/>
    <w:rsid w:val="00122723"/>
    <w:rsid w:val="0013154F"/>
    <w:rsid w:val="00150A3C"/>
    <w:rsid w:val="001534CD"/>
    <w:rsid w:val="0015466B"/>
    <w:rsid w:val="00157CDD"/>
    <w:rsid w:val="001617AC"/>
    <w:rsid w:val="00161C7D"/>
    <w:rsid w:val="00166BAB"/>
    <w:rsid w:val="0017375B"/>
    <w:rsid w:val="0017673B"/>
    <w:rsid w:val="00183D6E"/>
    <w:rsid w:val="001B2013"/>
    <w:rsid w:val="001D1027"/>
    <w:rsid w:val="001D18EB"/>
    <w:rsid w:val="001E483C"/>
    <w:rsid w:val="0020302E"/>
    <w:rsid w:val="0020347E"/>
    <w:rsid w:val="00205B16"/>
    <w:rsid w:val="00212468"/>
    <w:rsid w:val="00215039"/>
    <w:rsid w:val="00215517"/>
    <w:rsid w:val="002165B4"/>
    <w:rsid w:val="00216E66"/>
    <w:rsid w:val="00225701"/>
    <w:rsid w:val="002269D4"/>
    <w:rsid w:val="002331AB"/>
    <w:rsid w:val="002358A0"/>
    <w:rsid w:val="002436A6"/>
    <w:rsid w:val="002442E5"/>
    <w:rsid w:val="00250D7B"/>
    <w:rsid w:val="00254546"/>
    <w:rsid w:val="00263264"/>
    <w:rsid w:val="00266707"/>
    <w:rsid w:val="00266FA8"/>
    <w:rsid w:val="0027536C"/>
    <w:rsid w:val="00281A8A"/>
    <w:rsid w:val="0029395C"/>
    <w:rsid w:val="00293A10"/>
    <w:rsid w:val="00294664"/>
    <w:rsid w:val="002A27BF"/>
    <w:rsid w:val="002A71D6"/>
    <w:rsid w:val="002A795A"/>
    <w:rsid w:val="002C3679"/>
    <w:rsid w:val="002D3619"/>
    <w:rsid w:val="002D65D7"/>
    <w:rsid w:val="002E56F6"/>
    <w:rsid w:val="002F44CD"/>
    <w:rsid w:val="002F568D"/>
    <w:rsid w:val="00301884"/>
    <w:rsid w:val="00315FDA"/>
    <w:rsid w:val="00320EAE"/>
    <w:rsid w:val="00321FA3"/>
    <w:rsid w:val="00324AB8"/>
    <w:rsid w:val="003250B4"/>
    <w:rsid w:val="003264F9"/>
    <w:rsid w:val="00346B4D"/>
    <w:rsid w:val="00353735"/>
    <w:rsid w:val="003626E9"/>
    <w:rsid w:val="0036270F"/>
    <w:rsid w:val="00366892"/>
    <w:rsid w:val="00366F5F"/>
    <w:rsid w:val="003674BF"/>
    <w:rsid w:val="003677CE"/>
    <w:rsid w:val="0037304F"/>
    <w:rsid w:val="003806A2"/>
    <w:rsid w:val="003847C1"/>
    <w:rsid w:val="00391FD7"/>
    <w:rsid w:val="00393B98"/>
    <w:rsid w:val="003B6AF9"/>
    <w:rsid w:val="003C1D67"/>
    <w:rsid w:val="003C1E83"/>
    <w:rsid w:val="003C6122"/>
    <w:rsid w:val="003C7672"/>
    <w:rsid w:val="003D175B"/>
    <w:rsid w:val="003D684A"/>
    <w:rsid w:val="003E2D4E"/>
    <w:rsid w:val="003E44CC"/>
    <w:rsid w:val="003E4617"/>
    <w:rsid w:val="003F4337"/>
    <w:rsid w:val="00400A06"/>
    <w:rsid w:val="00402430"/>
    <w:rsid w:val="00403E1E"/>
    <w:rsid w:val="0040787F"/>
    <w:rsid w:val="00432BD7"/>
    <w:rsid w:val="00436699"/>
    <w:rsid w:val="00436EC7"/>
    <w:rsid w:val="004370D7"/>
    <w:rsid w:val="00442688"/>
    <w:rsid w:val="004447F7"/>
    <w:rsid w:val="004566BD"/>
    <w:rsid w:val="00472605"/>
    <w:rsid w:val="00473009"/>
    <w:rsid w:val="00473FB0"/>
    <w:rsid w:val="004750DE"/>
    <w:rsid w:val="00480696"/>
    <w:rsid w:val="0048449A"/>
    <w:rsid w:val="004919B3"/>
    <w:rsid w:val="004A1760"/>
    <w:rsid w:val="004A2561"/>
    <w:rsid w:val="004A69FE"/>
    <w:rsid w:val="004B7370"/>
    <w:rsid w:val="004C5C3D"/>
    <w:rsid w:val="004C6BB9"/>
    <w:rsid w:val="004C7A54"/>
    <w:rsid w:val="004D17FC"/>
    <w:rsid w:val="004E3B1C"/>
    <w:rsid w:val="004E4993"/>
    <w:rsid w:val="004F1C98"/>
    <w:rsid w:val="004F45EA"/>
    <w:rsid w:val="00503440"/>
    <w:rsid w:val="00504C0B"/>
    <w:rsid w:val="00512F28"/>
    <w:rsid w:val="005231DE"/>
    <w:rsid w:val="0052353C"/>
    <w:rsid w:val="00525CBF"/>
    <w:rsid w:val="00530CCD"/>
    <w:rsid w:val="00532597"/>
    <w:rsid w:val="005338D6"/>
    <w:rsid w:val="005517AA"/>
    <w:rsid w:val="00552014"/>
    <w:rsid w:val="005704ED"/>
    <w:rsid w:val="00570919"/>
    <w:rsid w:val="00584DDE"/>
    <w:rsid w:val="00586B4A"/>
    <w:rsid w:val="006010E4"/>
    <w:rsid w:val="00607362"/>
    <w:rsid w:val="00616551"/>
    <w:rsid w:val="006201E6"/>
    <w:rsid w:val="0063428D"/>
    <w:rsid w:val="00635A7D"/>
    <w:rsid w:val="00645D5D"/>
    <w:rsid w:val="00647A71"/>
    <w:rsid w:val="0065466E"/>
    <w:rsid w:val="00665F07"/>
    <w:rsid w:val="006701D3"/>
    <w:rsid w:val="00671211"/>
    <w:rsid w:val="006741C7"/>
    <w:rsid w:val="00674DC4"/>
    <w:rsid w:val="006778B3"/>
    <w:rsid w:val="00684B58"/>
    <w:rsid w:val="00687F37"/>
    <w:rsid w:val="00692A52"/>
    <w:rsid w:val="0069431C"/>
    <w:rsid w:val="006948D3"/>
    <w:rsid w:val="00696B81"/>
    <w:rsid w:val="006976DF"/>
    <w:rsid w:val="006A7EC2"/>
    <w:rsid w:val="006B0722"/>
    <w:rsid w:val="006B2B7C"/>
    <w:rsid w:val="006B3A36"/>
    <w:rsid w:val="006B691D"/>
    <w:rsid w:val="006C01B5"/>
    <w:rsid w:val="006C4E52"/>
    <w:rsid w:val="006D0503"/>
    <w:rsid w:val="006D0867"/>
    <w:rsid w:val="006D5273"/>
    <w:rsid w:val="006D53E4"/>
    <w:rsid w:val="006E6FF4"/>
    <w:rsid w:val="006F0329"/>
    <w:rsid w:val="006F607F"/>
    <w:rsid w:val="006F661F"/>
    <w:rsid w:val="007000DA"/>
    <w:rsid w:val="00706157"/>
    <w:rsid w:val="007062F3"/>
    <w:rsid w:val="00712260"/>
    <w:rsid w:val="00712FD9"/>
    <w:rsid w:val="007143B9"/>
    <w:rsid w:val="00717C61"/>
    <w:rsid w:val="007233CF"/>
    <w:rsid w:val="00736E0A"/>
    <w:rsid w:val="00743624"/>
    <w:rsid w:val="007475B8"/>
    <w:rsid w:val="00754877"/>
    <w:rsid w:val="0075737D"/>
    <w:rsid w:val="00764971"/>
    <w:rsid w:val="007721FD"/>
    <w:rsid w:val="00781CE8"/>
    <w:rsid w:val="00786E40"/>
    <w:rsid w:val="00793AD0"/>
    <w:rsid w:val="00796B40"/>
    <w:rsid w:val="007A2C20"/>
    <w:rsid w:val="007A3828"/>
    <w:rsid w:val="007A6C81"/>
    <w:rsid w:val="007C474C"/>
    <w:rsid w:val="007C4BEE"/>
    <w:rsid w:val="007D0D54"/>
    <w:rsid w:val="007D28C2"/>
    <w:rsid w:val="007D4974"/>
    <w:rsid w:val="007E2E1D"/>
    <w:rsid w:val="007E5835"/>
    <w:rsid w:val="007F0381"/>
    <w:rsid w:val="007F2028"/>
    <w:rsid w:val="007F408B"/>
    <w:rsid w:val="007F6EFF"/>
    <w:rsid w:val="007F7242"/>
    <w:rsid w:val="00800506"/>
    <w:rsid w:val="00803220"/>
    <w:rsid w:val="008066E8"/>
    <w:rsid w:val="00813CAB"/>
    <w:rsid w:val="00817663"/>
    <w:rsid w:val="00825C1F"/>
    <w:rsid w:val="00826959"/>
    <w:rsid w:val="0083120B"/>
    <w:rsid w:val="00832E39"/>
    <w:rsid w:val="008335BA"/>
    <w:rsid w:val="00837227"/>
    <w:rsid w:val="008404CA"/>
    <w:rsid w:val="008418B9"/>
    <w:rsid w:val="0085127C"/>
    <w:rsid w:val="00853EDC"/>
    <w:rsid w:val="00857370"/>
    <w:rsid w:val="00865F48"/>
    <w:rsid w:val="00872922"/>
    <w:rsid w:val="00875D7B"/>
    <w:rsid w:val="00876836"/>
    <w:rsid w:val="008857AA"/>
    <w:rsid w:val="008B02EE"/>
    <w:rsid w:val="008B2005"/>
    <w:rsid w:val="008B57E6"/>
    <w:rsid w:val="008C6E52"/>
    <w:rsid w:val="008D2FEC"/>
    <w:rsid w:val="008E2DCC"/>
    <w:rsid w:val="008E5EB0"/>
    <w:rsid w:val="008E6DB1"/>
    <w:rsid w:val="008F3911"/>
    <w:rsid w:val="009175F2"/>
    <w:rsid w:val="0092138D"/>
    <w:rsid w:val="00921F13"/>
    <w:rsid w:val="00942259"/>
    <w:rsid w:val="0095123A"/>
    <w:rsid w:val="0095641C"/>
    <w:rsid w:val="00957538"/>
    <w:rsid w:val="009637C2"/>
    <w:rsid w:val="0097131B"/>
    <w:rsid w:val="00985A42"/>
    <w:rsid w:val="00987202"/>
    <w:rsid w:val="009A04C4"/>
    <w:rsid w:val="009A0BD6"/>
    <w:rsid w:val="009A50A9"/>
    <w:rsid w:val="009A7A46"/>
    <w:rsid w:val="009B22F7"/>
    <w:rsid w:val="009B6DC7"/>
    <w:rsid w:val="009C0252"/>
    <w:rsid w:val="009C5621"/>
    <w:rsid w:val="009D3D40"/>
    <w:rsid w:val="009D6EF4"/>
    <w:rsid w:val="009F1EDC"/>
    <w:rsid w:val="009F6C6D"/>
    <w:rsid w:val="00A06CF4"/>
    <w:rsid w:val="00A10A2B"/>
    <w:rsid w:val="00A11252"/>
    <w:rsid w:val="00A23ECB"/>
    <w:rsid w:val="00A244EE"/>
    <w:rsid w:val="00A25058"/>
    <w:rsid w:val="00A2602C"/>
    <w:rsid w:val="00A301D1"/>
    <w:rsid w:val="00A36582"/>
    <w:rsid w:val="00A52B99"/>
    <w:rsid w:val="00A539D2"/>
    <w:rsid w:val="00A56D23"/>
    <w:rsid w:val="00A74566"/>
    <w:rsid w:val="00A80710"/>
    <w:rsid w:val="00A80BFB"/>
    <w:rsid w:val="00A8215E"/>
    <w:rsid w:val="00A9042A"/>
    <w:rsid w:val="00AA418C"/>
    <w:rsid w:val="00AA42B5"/>
    <w:rsid w:val="00AA6A13"/>
    <w:rsid w:val="00AC7CD5"/>
    <w:rsid w:val="00AD0A3F"/>
    <w:rsid w:val="00AD425E"/>
    <w:rsid w:val="00AD4588"/>
    <w:rsid w:val="00AD45AB"/>
    <w:rsid w:val="00AD676E"/>
    <w:rsid w:val="00AF2447"/>
    <w:rsid w:val="00AF4F75"/>
    <w:rsid w:val="00B040F0"/>
    <w:rsid w:val="00B04E2D"/>
    <w:rsid w:val="00B102F7"/>
    <w:rsid w:val="00B144F8"/>
    <w:rsid w:val="00B15590"/>
    <w:rsid w:val="00B170F2"/>
    <w:rsid w:val="00B369AC"/>
    <w:rsid w:val="00B41E9F"/>
    <w:rsid w:val="00B42F03"/>
    <w:rsid w:val="00B55915"/>
    <w:rsid w:val="00B75869"/>
    <w:rsid w:val="00B7740C"/>
    <w:rsid w:val="00B82766"/>
    <w:rsid w:val="00B90605"/>
    <w:rsid w:val="00B9078D"/>
    <w:rsid w:val="00B9216D"/>
    <w:rsid w:val="00B93B22"/>
    <w:rsid w:val="00B9570F"/>
    <w:rsid w:val="00B97A6E"/>
    <w:rsid w:val="00BA1C50"/>
    <w:rsid w:val="00BA2211"/>
    <w:rsid w:val="00BA2FBE"/>
    <w:rsid w:val="00BA33AD"/>
    <w:rsid w:val="00BA6A18"/>
    <w:rsid w:val="00BB37F6"/>
    <w:rsid w:val="00BC1CBB"/>
    <w:rsid w:val="00BC5449"/>
    <w:rsid w:val="00BE11AA"/>
    <w:rsid w:val="00BF03F1"/>
    <w:rsid w:val="00C05569"/>
    <w:rsid w:val="00C0776E"/>
    <w:rsid w:val="00C11FC2"/>
    <w:rsid w:val="00C12195"/>
    <w:rsid w:val="00C13CDA"/>
    <w:rsid w:val="00C24DEF"/>
    <w:rsid w:val="00C26B33"/>
    <w:rsid w:val="00C27268"/>
    <w:rsid w:val="00C36B95"/>
    <w:rsid w:val="00C40D6A"/>
    <w:rsid w:val="00C432C1"/>
    <w:rsid w:val="00C44572"/>
    <w:rsid w:val="00C453C3"/>
    <w:rsid w:val="00C54E46"/>
    <w:rsid w:val="00C63936"/>
    <w:rsid w:val="00C645F5"/>
    <w:rsid w:val="00C65076"/>
    <w:rsid w:val="00C87689"/>
    <w:rsid w:val="00C90AE7"/>
    <w:rsid w:val="00C91885"/>
    <w:rsid w:val="00CA2BF6"/>
    <w:rsid w:val="00CC26E8"/>
    <w:rsid w:val="00CC4C42"/>
    <w:rsid w:val="00CD10FB"/>
    <w:rsid w:val="00CE4CBC"/>
    <w:rsid w:val="00D036F3"/>
    <w:rsid w:val="00D2340C"/>
    <w:rsid w:val="00D2365F"/>
    <w:rsid w:val="00D238D2"/>
    <w:rsid w:val="00D2763C"/>
    <w:rsid w:val="00D30A3A"/>
    <w:rsid w:val="00D50215"/>
    <w:rsid w:val="00D50237"/>
    <w:rsid w:val="00D54364"/>
    <w:rsid w:val="00D57DA5"/>
    <w:rsid w:val="00D65EB4"/>
    <w:rsid w:val="00D719ED"/>
    <w:rsid w:val="00D728CA"/>
    <w:rsid w:val="00D81FB3"/>
    <w:rsid w:val="00DA6D18"/>
    <w:rsid w:val="00DB0448"/>
    <w:rsid w:val="00DB588A"/>
    <w:rsid w:val="00DB6EDA"/>
    <w:rsid w:val="00DC0145"/>
    <w:rsid w:val="00DD24DD"/>
    <w:rsid w:val="00DD4DB0"/>
    <w:rsid w:val="00DD505B"/>
    <w:rsid w:val="00DD76C4"/>
    <w:rsid w:val="00DE4138"/>
    <w:rsid w:val="00DE4222"/>
    <w:rsid w:val="00DE789B"/>
    <w:rsid w:val="00DF147F"/>
    <w:rsid w:val="00DF31F0"/>
    <w:rsid w:val="00E0489E"/>
    <w:rsid w:val="00E1263C"/>
    <w:rsid w:val="00E139E6"/>
    <w:rsid w:val="00E20CA3"/>
    <w:rsid w:val="00E2159B"/>
    <w:rsid w:val="00E22248"/>
    <w:rsid w:val="00E240F0"/>
    <w:rsid w:val="00E27A13"/>
    <w:rsid w:val="00E32E56"/>
    <w:rsid w:val="00E40D64"/>
    <w:rsid w:val="00E41491"/>
    <w:rsid w:val="00E43851"/>
    <w:rsid w:val="00E46807"/>
    <w:rsid w:val="00E47E0C"/>
    <w:rsid w:val="00E57778"/>
    <w:rsid w:val="00E60B2F"/>
    <w:rsid w:val="00E757B5"/>
    <w:rsid w:val="00E80B29"/>
    <w:rsid w:val="00E815A9"/>
    <w:rsid w:val="00E83340"/>
    <w:rsid w:val="00E83884"/>
    <w:rsid w:val="00E87B8E"/>
    <w:rsid w:val="00EB0DF6"/>
    <w:rsid w:val="00EB14EA"/>
    <w:rsid w:val="00EC2B2C"/>
    <w:rsid w:val="00ED6581"/>
    <w:rsid w:val="00EE53A2"/>
    <w:rsid w:val="00EE68A7"/>
    <w:rsid w:val="00F0295C"/>
    <w:rsid w:val="00F16C12"/>
    <w:rsid w:val="00F3580F"/>
    <w:rsid w:val="00F4192C"/>
    <w:rsid w:val="00F41EC2"/>
    <w:rsid w:val="00F431C7"/>
    <w:rsid w:val="00F4721D"/>
    <w:rsid w:val="00F52E35"/>
    <w:rsid w:val="00F566C1"/>
    <w:rsid w:val="00F6055A"/>
    <w:rsid w:val="00F62E46"/>
    <w:rsid w:val="00F6343B"/>
    <w:rsid w:val="00F672A3"/>
    <w:rsid w:val="00F674A2"/>
    <w:rsid w:val="00F767F8"/>
    <w:rsid w:val="00F81344"/>
    <w:rsid w:val="00F834F1"/>
    <w:rsid w:val="00F95DA0"/>
    <w:rsid w:val="00FA75AA"/>
    <w:rsid w:val="00FB2B82"/>
    <w:rsid w:val="00FB4858"/>
    <w:rsid w:val="00FC627A"/>
    <w:rsid w:val="00FD3230"/>
    <w:rsid w:val="00FD5183"/>
    <w:rsid w:val="00FD7B7A"/>
    <w:rsid w:val="00FE712E"/>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57F7CC36-C6B9-450B-991F-8E54A412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10A2B"/>
    <w:rPr>
      <w:sz w:val="22"/>
      <w:szCs w:val="22"/>
      <w:lang w:val="en-US" w:eastAsia="de-DE"/>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lang/>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lang w:eastAsia="x-none"/>
    </w:rPr>
  </w:style>
  <w:style w:type="paragraph" w:styleId="Nagwek3">
    <w:name w:val="heading 3"/>
    <w:aliases w:val="Rep Heading 3"/>
    <w:basedOn w:val="RepStandard"/>
    <w:next w:val="RepStandard"/>
    <w:link w:val="Nagwek3Znak"/>
    <w:qFormat/>
    <w:rsid w:val="00A10A2B"/>
    <w:pPr>
      <w:keepNext/>
      <w:numPr>
        <w:ilvl w:val="2"/>
        <w:numId w:val="5"/>
      </w:numPr>
      <w:suppressAutoHyphens/>
      <w:spacing w:before="480" w:after="240"/>
      <w:outlineLvl w:val="2"/>
    </w:pPr>
    <w:rPr>
      <w:rFonts w:eastAsia="Lucida Sans Unicode"/>
      <w:b/>
      <w:bCs/>
      <w:kern w:val="24"/>
      <w:sz w:val="24"/>
      <w:szCs w:val="28"/>
      <w:lang/>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x-none" w:eastAsia="x-none"/>
    </w:rPr>
  </w:style>
  <w:style w:type="paragraph" w:styleId="Nagwek5">
    <w:name w:val="heading 5"/>
    <w:next w:val="Normalny"/>
    <w:link w:val="Nagwek5Znak"/>
    <w:qFormat/>
    <w:rsid w:val="00A10A2B"/>
    <w:pPr>
      <w:spacing w:before="240" w:after="60"/>
      <w:outlineLvl w:val="4"/>
    </w:pPr>
    <w:rPr>
      <w:rFonts w:ascii="Arial" w:hAnsi="Arial"/>
      <w:noProof/>
      <w:sz w:val="22"/>
      <w:lang w:val="de-DE" w:eastAsia="de-DE"/>
    </w:rPr>
  </w:style>
  <w:style w:type="paragraph" w:styleId="Nagwek6">
    <w:name w:val="heading 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next w:val="Normalny"/>
    <w:link w:val="Nagwek7Znak"/>
    <w:qFormat/>
    <w:rsid w:val="00A10A2B"/>
    <w:pPr>
      <w:spacing w:before="240" w:after="60"/>
      <w:outlineLvl w:val="6"/>
    </w:pPr>
    <w:rPr>
      <w:rFonts w:ascii="Arial" w:hAnsi="Arial"/>
      <w:noProof/>
      <w:sz w:val="22"/>
      <w:lang w:val="de-DE" w:eastAsia="de-DE"/>
    </w:rPr>
  </w:style>
  <w:style w:type="paragraph" w:styleId="Nagwek8">
    <w:name w:val="heading 8"/>
    <w:next w:val="Normalny"/>
    <w:link w:val="Nagwek8Znak"/>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aliases w:val="BfR BB Absatz-Standardschriftart"/>
    <w:uiPriority w:val="1"/>
    <w:semiHidden/>
    <w:rsid w:val="00A10A2B"/>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rsid w:val="00A10A2B"/>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66BAB"/>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66BAB"/>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66BAB"/>
    <w:pPr>
      <w:ind w:left="880"/>
    </w:pPr>
    <w:rPr>
      <w:sz w:val="18"/>
      <w:szCs w:val="21"/>
      <w:effect w:val="none"/>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rPr>
      <w:lang w:eastAsia="x-none"/>
    </w:rPr>
  </w:style>
  <w:style w:type="paragraph" w:styleId="Stopka">
    <w:name w:val="footer"/>
    <w:basedOn w:val="Normalny"/>
    <w:link w:val="StopkaZnak"/>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sz w:val="16"/>
      <w:szCs w:val="16"/>
      <w:lang w:eastAsia="x-none"/>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4566BD"/>
    <w:rPr>
      <w:sz w:val="22"/>
      <w:szCs w:val="22"/>
    </w:rPr>
  </w:style>
  <w:style w:type="character" w:customStyle="1" w:styleId="RepBullet2Zchn">
    <w:name w:val="Rep Bullet 2 Zchn"/>
    <w:basedOn w:val="RepStandardZchnZchn"/>
    <w:link w:val="RepBullet2"/>
    <w:rsid w:val="004566BD"/>
    <w:rPr>
      <w:sz w:val="22"/>
      <w:szCs w:val="22"/>
      <w:lang w:val="en-GB" w:bidi="ar-SA"/>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bidi="ar-SA"/>
    </w:rPr>
  </w:style>
  <w:style w:type="character" w:customStyle="1" w:styleId="RepPageFooterZchn">
    <w:name w:val="Rep Page Footer Zchn"/>
    <w:basedOn w:val="RepPageHeaderZchn"/>
    <w:link w:val="RepPageFooter"/>
    <w:rsid w:val="00A10A2B"/>
    <w:rPr>
      <w:sz w:val="22"/>
      <w:szCs w:val="22"/>
      <w:lang w:val="en-GB" w:bidi="ar-SA"/>
    </w:rPr>
  </w:style>
  <w:style w:type="character" w:styleId="Odwoaniedokomentarza">
    <w:name w:val="annotation reference"/>
    <w:uiPriority w:val="99"/>
    <w:semiHidden/>
    <w:rsid w:val="00A10A2B"/>
    <w:rPr>
      <w:sz w:val="16"/>
      <w:szCs w:val="16"/>
    </w:rPr>
  </w:style>
  <w:style w:type="table" w:styleId="Tabela-Siatka">
    <w:name w:val="Table Grid"/>
    <w:basedOn w:val="Standardowy"/>
    <w:uiPriority w:val="59"/>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
    <w:name w:val="Inhaltsverzeichnisüberschrift"/>
    <w:basedOn w:val="Nagwek1"/>
    <w:next w:val="Normalny"/>
    <w:uiPriority w:val="39"/>
    <w:semiHidden/>
    <w:unhideWhenUsed/>
    <w:qFormat/>
    <w:rsid w:val="002D3619"/>
    <w:pPr>
      <w:keepNext/>
      <w:widowControl/>
      <w:numPr>
        <w:numId w:val="0"/>
      </w:numPr>
      <w:spacing w:before="240" w:after="60"/>
      <w:jc w:val="left"/>
      <w:outlineLvl w:val="9"/>
    </w:pPr>
    <w:rPr>
      <w:rFonts w:ascii="Cambria" w:eastAsia="Times New Roman" w:hAnsi="Cambria"/>
      <w:kern w:val="32"/>
      <w:sz w:val="32"/>
      <w:szCs w:val="32"/>
      <w:lang w:val="en-US" w:eastAsia="de-DE"/>
    </w:rPr>
  </w:style>
  <w:style w:type="character" w:styleId="Odwoanieprzypisudolnego">
    <w:name w:val="footnote reference"/>
    <w:semiHidden/>
    <w:rsid w:val="007F6EFF"/>
    <w:rPr>
      <w:vertAlign w:val="superscript"/>
    </w:rPr>
  </w:style>
  <w:style w:type="paragraph" w:customStyle="1" w:styleId="IntensivesZitat">
    <w:name w:val="Intensives Zitat"/>
    <w:basedOn w:val="Normalny"/>
    <w:next w:val="Normalny"/>
    <w:link w:val="IntensivesZitatZchn"/>
    <w:uiPriority w:val="30"/>
    <w:qFormat/>
    <w:rsid w:val="002D3619"/>
    <w:pPr>
      <w:pBdr>
        <w:bottom w:val="single" w:sz="4" w:space="4" w:color="4F81BD"/>
      </w:pBdr>
      <w:spacing w:before="200" w:after="280"/>
      <w:ind w:left="936" w:right="936"/>
    </w:pPr>
    <w:rPr>
      <w:b/>
      <w:bCs/>
      <w:i/>
      <w:iCs/>
      <w:color w:val="4F81BD"/>
      <w:lang w:eastAsia="x-none"/>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A10A2B"/>
    <w:rPr>
      <w:b/>
      <w:bCs/>
      <w:sz w:val="20"/>
      <w:szCs w:val="20"/>
      <w:lang w:eastAsia="x-none"/>
    </w:rPr>
  </w:style>
  <w:style w:type="paragraph" w:customStyle="1" w:styleId="RepStandard">
    <w:name w:val="Rep Standard"/>
    <w:aliases w:val="RP"/>
    <w:link w:val="RepStandardZchnZchn"/>
    <w:qFormat/>
    <w:rsid w:val="00A10A2B"/>
    <w:pPr>
      <w:widowControl w:val="0"/>
      <w:jc w:val="both"/>
    </w:pPr>
    <w:rPr>
      <w:sz w:val="22"/>
      <w:szCs w:val="22"/>
      <w:lang w:val="en-GB"/>
    </w:rPr>
  </w:style>
  <w:style w:type="character" w:customStyle="1" w:styleId="RepStandardZchnZchn">
    <w:name w:val="Rep Standard Zchn Zchn"/>
    <w:link w:val="RepStandard"/>
    <w:rsid w:val="00A10A2B"/>
    <w:rPr>
      <w:sz w:val="22"/>
      <w:szCs w:val="22"/>
      <w:lang w:val="en-GB"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lang w:eastAsia="x-none"/>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link w:val="HTML-wstpniesformatowanyZnak"/>
    <w:semiHidden/>
    <w:rsid w:val="00A10A2B"/>
    <w:rPr>
      <w:rFonts w:ascii="Courier New" w:hAnsi="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uiPriority w:val="99"/>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Zwykytekst">
    <w:name w:val="Plain Text"/>
    <w:basedOn w:val="Normalny"/>
    <w:link w:val="ZwykytekstZnak"/>
    <w:semiHidden/>
    <w:rsid w:val="00A10A2B"/>
    <w:rPr>
      <w:rFonts w:ascii="Courier New" w:hAnsi="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styleId="Tytu">
    <w:name w:val="Title"/>
    <w:basedOn w:val="Normalny"/>
    <w:link w:val="TytuZnak"/>
    <w:qFormat/>
    <w:rsid w:val="003C1D67"/>
    <w:pPr>
      <w:spacing w:before="240" w:after="60"/>
      <w:outlineLvl w:val="0"/>
    </w:pPr>
    <w:rPr>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qFormat/>
    <w:rsid w:val="00A10A2B"/>
    <w:pPr>
      <w:spacing w:after="60"/>
      <w:outlineLvl w:val="1"/>
    </w:pPr>
    <w:rPr>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9"/>
      </w:numPr>
      <w:spacing w:before="480" w:after="240"/>
      <w:outlineLvl w:val="1"/>
    </w:pPr>
    <w:rPr>
      <w:b/>
      <w:sz w:val="24"/>
    </w:rPr>
  </w:style>
  <w:style w:type="paragraph" w:customStyle="1" w:styleId="RepAppendix3">
    <w:name w:val="Rep Appendix 3"/>
    <w:basedOn w:val="RepStandard"/>
    <w:next w:val="RepStandard"/>
    <w:rsid w:val="00A10A2B"/>
    <w:pPr>
      <w:numPr>
        <w:ilvl w:val="2"/>
        <w:numId w:val="1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4566BD"/>
    <w:pPr>
      <w:numPr>
        <w:numId w:val="23"/>
      </w:numPr>
      <w:jc w:val="left"/>
    </w:pPr>
    <w:rPr>
      <w:lang w:val="x-none"/>
    </w:rPr>
  </w:style>
  <w:style w:type="paragraph" w:customStyle="1" w:styleId="RepBullet2">
    <w:name w:val="Rep Bullet 2"/>
    <w:basedOn w:val="RepStandard"/>
    <w:link w:val="RepBullet2Zchn"/>
    <w:autoRedefine/>
    <w:rsid w:val="004566BD"/>
    <w:pPr>
      <w:numPr>
        <w:numId w:val="24"/>
      </w:numPr>
      <w:jc w:val="left"/>
    </w:pPr>
  </w:style>
  <w:style w:type="paragraph" w:customStyle="1" w:styleId="RepBullet3">
    <w:name w:val="Rep Bullet 3"/>
    <w:basedOn w:val="RepStandard"/>
    <w:autoRedefine/>
    <w:rsid w:val="004566BD"/>
    <w:pPr>
      <w:numPr>
        <w:numId w:val="25"/>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numPr>
        <w:numId w:val="5"/>
      </w:numPr>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styleId="Pogrubienie">
    <w:name w:val="Strong"/>
    <w:qFormat/>
    <w:rsid w:val="003C1D67"/>
    <w:rPr>
      <w:b/>
      <w:bCs/>
    </w:rPr>
  </w:style>
  <w:style w:type="paragraph" w:styleId="Nagweknotatki">
    <w:name w:val="Note Heading"/>
    <w:basedOn w:val="Normalny"/>
    <w:next w:val="Normalny"/>
    <w:link w:val="NagweknotatkiZnak"/>
    <w:semiHidden/>
    <w:rsid w:val="00A10A2B"/>
  </w:style>
  <w:style w:type="character" w:styleId="Uwydatnienie">
    <w:name w:val="Emphasis"/>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ela - Efekty 3W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ela - Efekty 3W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ela - Efekty 3W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ndokumentu">
    <w:name w:val="Plan dokumentu"/>
    <w:basedOn w:val="Normalny"/>
    <w:link w:val="MapadokumentuZnak"/>
    <w:semiHidden/>
    <w:rsid w:val="00A10A2B"/>
    <w:pPr>
      <w:shd w:val="clear" w:color="auto" w:fill="000080"/>
    </w:pPr>
    <w:rPr>
      <w:rFonts w:ascii="Tahoma" w:hAnsi="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IntensivesZitatZchn">
    <w:name w:val="Intensives Zitat Zchn"/>
    <w:link w:val="IntensivesZitat"/>
    <w:uiPriority w:val="30"/>
    <w:rsid w:val="002D3619"/>
    <w:rPr>
      <w:b/>
      <w:bCs/>
      <w:i/>
      <w:iCs/>
      <w:color w:val="4F81BD"/>
      <w:sz w:val="22"/>
      <w:szCs w:val="22"/>
      <w:lang w:val="en-US"/>
    </w:rPr>
  </w:style>
  <w:style w:type="paragraph" w:customStyle="1" w:styleId="KeinLeerraum">
    <w:name w:val="Kein Leerraum"/>
    <w:uiPriority w:val="1"/>
    <w:qFormat/>
    <w:rsid w:val="002D3619"/>
    <w:rPr>
      <w:sz w:val="22"/>
      <w:szCs w:val="22"/>
      <w:lang w:val="en-US" w:eastAsia="de-DE"/>
    </w:rPr>
  </w:style>
  <w:style w:type="character" w:customStyle="1" w:styleId="Nagwek3Znak">
    <w:name w:val="Nagłówek 3 Znak"/>
    <w:aliases w:val="Rep Heading 3 Znak"/>
    <w:link w:val="Nagwek3"/>
    <w:locked/>
    <w:rsid w:val="00504C0B"/>
    <w:rPr>
      <w:rFonts w:eastAsia="Lucida Sans Unicode" w:cs="Tahoma"/>
      <w:b/>
      <w:bCs/>
      <w:kern w:val="24"/>
      <w:sz w:val="24"/>
      <w:szCs w:val="28"/>
      <w:lang w:val="en-GB"/>
    </w:rPr>
  </w:style>
  <w:style w:type="character" w:customStyle="1" w:styleId="Nagwek4Znak">
    <w:name w:val="Nagłówek 4 Znak"/>
    <w:aliases w:val="Rep Heading 4 Znak"/>
    <w:link w:val="Nagwek4"/>
    <w:locked/>
    <w:rsid w:val="00504C0B"/>
    <w:rPr>
      <w:b/>
      <w:noProof/>
      <w:sz w:val="24"/>
      <w:szCs w:val="24"/>
    </w:rPr>
  </w:style>
  <w:style w:type="character" w:customStyle="1" w:styleId="LegendaZnak">
    <w:name w:val="Legenda Znak"/>
    <w:aliases w:val="o Znak,o + Links Znak,Bayer Caption Znak"/>
    <w:link w:val="Legenda"/>
    <w:uiPriority w:val="35"/>
    <w:locked/>
    <w:rsid w:val="00504C0B"/>
    <w:rPr>
      <w:b/>
      <w:bCs/>
      <w:lang w:val="en-US"/>
    </w:rPr>
  </w:style>
  <w:style w:type="character" w:customStyle="1" w:styleId="Nagwek2Znak">
    <w:name w:val="Nagłówek 2 Znak"/>
    <w:aliases w:val="Rep Heading 2 Znak,Header 1 Znak"/>
    <w:link w:val="Nagwek2"/>
    <w:rsid w:val="008D2FEC"/>
    <w:rPr>
      <w:b/>
      <w:bCs/>
      <w:sz w:val="24"/>
      <w:szCs w:val="24"/>
      <w:lang w:val="en-GB"/>
    </w:rPr>
  </w:style>
  <w:style w:type="paragraph" w:customStyle="1" w:styleId="Listenabsatz">
    <w:name w:val="Listenabsatz"/>
    <w:basedOn w:val="Normalny"/>
    <w:uiPriority w:val="34"/>
    <w:qFormat/>
    <w:rsid w:val="002D3619"/>
    <w:pPr>
      <w:ind w:left="708"/>
    </w:pPr>
  </w:style>
  <w:style w:type="paragraph" w:customStyle="1" w:styleId="Literaturverzeichnis">
    <w:name w:val="Literaturverzeichnis"/>
    <w:basedOn w:val="Normalny"/>
    <w:next w:val="Normalny"/>
    <w:uiPriority w:val="37"/>
    <w:semiHidden/>
    <w:unhideWhenUsed/>
    <w:rsid w:val="002D3619"/>
  </w:style>
  <w:style w:type="paragraph" w:customStyle="1" w:styleId="Zitat">
    <w:name w:val="Zitat"/>
    <w:basedOn w:val="Normalny"/>
    <w:next w:val="Normalny"/>
    <w:link w:val="ZitatZchn"/>
    <w:uiPriority w:val="29"/>
    <w:qFormat/>
    <w:rsid w:val="002D3619"/>
    <w:rPr>
      <w:i/>
      <w:iCs/>
      <w:color w:val="000000"/>
      <w:lang w:eastAsia="x-none"/>
    </w:rPr>
  </w:style>
  <w:style w:type="character" w:customStyle="1" w:styleId="ZitatZchn">
    <w:name w:val="Zitat Zchn"/>
    <w:link w:val="Zitat"/>
    <w:uiPriority w:val="29"/>
    <w:rsid w:val="002D3619"/>
    <w:rPr>
      <w:i/>
      <w:iCs/>
      <w:color w:val="000000"/>
      <w:sz w:val="22"/>
      <w:szCs w:val="22"/>
      <w:lang w:val="en-US"/>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ekstkomentarzaZnak">
    <w:name w:val="Tekst komentarza Znak"/>
    <w:link w:val="Tekstkomentarza"/>
    <w:uiPriority w:val="99"/>
    <w:semiHidden/>
    <w:locked/>
    <w:rsid w:val="001E483C"/>
    <w:rPr>
      <w:lang w:val="en-US" w:eastAsia="de-DE"/>
    </w:rPr>
  </w:style>
  <w:style w:type="character" w:customStyle="1" w:styleId="Nagwek5Znak">
    <w:name w:val="Nagłówek 5 Znak"/>
    <w:link w:val="Nagwek5"/>
    <w:rsid w:val="00857370"/>
    <w:rPr>
      <w:rFonts w:ascii="Arial" w:hAnsi="Arial"/>
      <w:noProof/>
      <w:sz w:val="22"/>
      <w:lang w:val="de-DE" w:eastAsia="de-DE" w:bidi="ar-SA"/>
    </w:rPr>
  </w:style>
  <w:style w:type="character" w:customStyle="1" w:styleId="Nagwek6Znak">
    <w:name w:val="Nagłówek 6 Znak"/>
    <w:link w:val="Nagwek6"/>
    <w:rsid w:val="00857370"/>
    <w:rPr>
      <w:rFonts w:ascii="Arial" w:hAnsi="Arial"/>
      <w:noProof/>
      <w:sz w:val="22"/>
      <w:lang w:val="de-DE" w:eastAsia="de-DE" w:bidi="ar-SA"/>
    </w:rPr>
  </w:style>
  <w:style w:type="character" w:customStyle="1" w:styleId="Nagwek7Znak">
    <w:name w:val="Nagłówek 7 Znak"/>
    <w:link w:val="Nagwek7"/>
    <w:rsid w:val="00857370"/>
    <w:rPr>
      <w:rFonts w:ascii="Arial" w:hAnsi="Arial"/>
      <w:noProof/>
      <w:sz w:val="22"/>
      <w:lang w:val="de-DE" w:eastAsia="de-DE" w:bidi="ar-SA"/>
    </w:rPr>
  </w:style>
  <w:style w:type="character" w:customStyle="1" w:styleId="Nagwek8Znak">
    <w:name w:val="Nagłówek 8 Znak"/>
    <w:link w:val="Nagwek8"/>
    <w:rsid w:val="00857370"/>
    <w:rPr>
      <w:rFonts w:ascii="Arial" w:hAnsi="Arial"/>
      <w:noProof/>
      <w:sz w:val="22"/>
      <w:lang w:val="de-DE" w:eastAsia="de-DE" w:bidi="ar-SA"/>
    </w:rPr>
  </w:style>
  <w:style w:type="character" w:customStyle="1" w:styleId="Nagwek9Znak">
    <w:name w:val="Nagłówek 9 Znak"/>
    <w:aliases w:val="Heading 9 Figure Znak1,Heading 9 Table Znak1"/>
    <w:link w:val="Nagwek9"/>
    <w:rsid w:val="00857370"/>
    <w:rPr>
      <w:rFonts w:ascii="Arial" w:hAnsi="Arial"/>
      <w:noProof/>
      <w:sz w:val="22"/>
      <w:lang w:val="de-DE" w:eastAsia="de-DE" w:bidi="ar-SA"/>
    </w:rPr>
  </w:style>
  <w:style w:type="character" w:customStyle="1" w:styleId="HTML-adresZnak">
    <w:name w:val="HTML - adres Znak"/>
    <w:link w:val="HTML-adres"/>
    <w:semiHidden/>
    <w:rsid w:val="00857370"/>
    <w:rPr>
      <w:i/>
      <w:iCs/>
      <w:sz w:val="22"/>
      <w:szCs w:val="22"/>
      <w:lang w:val="en-US" w:eastAsia="de-DE"/>
    </w:rPr>
  </w:style>
  <w:style w:type="character" w:customStyle="1" w:styleId="HTML-wstpniesformatowanyZnak">
    <w:name w:val="HTML - wstępnie sformatowany Znak"/>
    <w:link w:val="HTML-wstpniesformatowany"/>
    <w:semiHidden/>
    <w:rsid w:val="00857370"/>
    <w:rPr>
      <w:rFonts w:ascii="Courier New" w:hAnsi="Courier New" w:cs="Courier New"/>
      <w:lang w:val="en-US" w:eastAsia="de-DE"/>
    </w:rPr>
  </w:style>
  <w:style w:type="paragraph" w:customStyle="1" w:styleId="msonormal0">
    <w:name w:val="msonormal"/>
    <w:basedOn w:val="Normalny"/>
    <w:semiHidden/>
    <w:rsid w:val="00857370"/>
    <w:rPr>
      <w:sz w:val="24"/>
    </w:rPr>
  </w:style>
  <w:style w:type="character" w:customStyle="1" w:styleId="Nagwek9Znak1">
    <w:name w:val="Nagłówek 9 Znak1"/>
    <w:aliases w:val="Heading 9 Figure Znak,Heading 9 Table Znak"/>
    <w:semiHidden/>
    <w:rsid w:val="00857370"/>
    <w:rPr>
      <w:rFonts w:ascii="Aptos" w:eastAsia="Times New Roman" w:hAnsi="Aptos" w:cs="Times New Roman"/>
      <w:color w:val="272727"/>
      <w:sz w:val="22"/>
      <w:szCs w:val="22"/>
      <w:lang w:val="en-US" w:eastAsia="de-DE"/>
    </w:rPr>
  </w:style>
  <w:style w:type="character" w:customStyle="1" w:styleId="TekstprzypisudolnegoZnak">
    <w:name w:val="Tekst przypisu dolnego Znak"/>
    <w:link w:val="Tekstprzypisudolnego"/>
    <w:semiHidden/>
    <w:rsid w:val="00857370"/>
    <w:rPr>
      <w:lang w:val="en-US" w:eastAsia="de-DE"/>
    </w:rPr>
  </w:style>
  <w:style w:type="character" w:customStyle="1" w:styleId="NagwekZnak1">
    <w:name w:val="Nagłówek Znak1"/>
    <w:aliases w:val="OECD-Kopfzeile Znak1,test Znak1,header protocols Znak1"/>
    <w:semiHidden/>
    <w:rsid w:val="00857370"/>
    <w:rPr>
      <w:sz w:val="22"/>
      <w:szCs w:val="22"/>
      <w:lang w:val="en-US" w:eastAsia="de-DE"/>
    </w:rPr>
  </w:style>
  <w:style w:type="character" w:customStyle="1" w:styleId="StopkaZnak">
    <w:name w:val="Stopka Znak"/>
    <w:link w:val="Stopka"/>
    <w:semiHidden/>
    <w:rsid w:val="00857370"/>
    <w:rPr>
      <w:sz w:val="22"/>
      <w:szCs w:val="22"/>
      <w:lang w:val="en-US" w:eastAsia="de-DE"/>
    </w:rPr>
  </w:style>
  <w:style w:type="character" w:customStyle="1" w:styleId="TekstprzypisukocowegoZnak">
    <w:name w:val="Tekst przypisu końcowego Znak"/>
    <w:link w:val="Tekstprzypisukocowego"/>
    <w:semiHidden/>
    <w:rsid w:val="00857370"/>
    <w:rPr>
      <w:lang w:val="en-US" w:eastAsia="de-DE"/>
    </w:rPr>
  </w:style>
  <w:style w:type="character" w:customStyle="1" w:styleId="TekstmakraZnak">
    <w:name w:val="Tekst makra Znak"/>
    <w:link w:val="Tekstmakra"/>
    <w:semiHidden/>
    <w:rsid w:val="00857370"/>
    <w:rPr>
      <w:rFonts w:ascii="Courier New" w:hAnsi="Courier New" w:cs="Courier New"/>
      <w:lang w:val="de-DE" w:eastAsia="de-DE" w:bidi="ar-SA"/>
    </w:rPr>
  </w:style>
  <w:style w:type="character" w:customStyle="1" w:styleId="TytuZnak">
    <w:name w:val="Tytuł Znak"/>
    <w:link w:val="Tytu"/>
    <w:rsid w:val="00857370"/>
    <w:rPr>
      <w:rFonts w:cs="Arial"/>
      <w:b/>
      <w:bCs/>
      <w:kern w:val="28"/>
      <w:sz w:val="32"/>
      <w:szCs w:val="32"/>
      <w:lang w:val="en-US" w:eastAsia="de-DE"/>
    </w:rPr>
  </w:style>
  <w:style w:type="character" w:customStyle="1" w:styleId="ZwrotpoegnalnyZnak">
    <w:name w:val="Zwrot pożegnalny Znak"/>
    <w:link w:val="Zwrotpoegnalny"/>
    <w:semiHidden/>
    <w:rsid w:val="00857370"/>
    <w:rPr>
      <w:sz w:val="22"/>
      <w:szCs w:val="22"/>
      <w:lang w:val="en-US" w:eastAsia="de-DE"/>
    </w:rPr>
  </w:style>
  <w:style w:type="character" w:customStyle="1" w:styleId="PodpisZnak">
    <w:name w:val="Podpis Znak"/>
    <w:link w:val="Podpis"/>
    <w:semiHidden/>
    <w:rsid w:val="00857370"/>
    <w:rPr>
      <w:sz w:val="22"/>
      <w:szCs w:val="22"/>
      <w:lang w:val="en-US" w:eastAsia="de-DE"/>
    </w:rPr>
  </w:style>
  <w:style w:type="character" w:customStyle="1" w:styleId="TekstpodstawowyZnak">
    <w:name w:val="Tekst podstawowy Znak"/>
    <w:link w:val="Tekstpodstawowy"/>
    <w:semiHidden/>
    <w:rsid w:val="00857370"/>
    <w:rPr>
      <w:sz w:val="22"/>
      <w:szCs w:val="22"/>
      <w:lang w:val="en-US" w:eastAsia="de-DE"/>
    </w:rPr>
  </w:style>
  <w:style w:type="character" w:customStyle="1" w:styleId="TekstpodstawowywcityZnak">
    <w:name w:val="Tekst podstawowy wcięty Znak"/>
    <w:link w:val="Tekstpodstawowywcity"/>
    <w:semiHidden/>
    <w:rsid w:val="00857370"/>
    <w:rPr>
      <w:sz w:val="22"/>
      <w:szCs w:val="22"/>
      <w:lang w:val="en-US" w:eastAsia="de-DE"/>
    </w:rPr>
  </w:style>
  <w:style w:type="character" w:customStyle="1" w:styleId="NagwekwiadomociZnak">
    <w:name w:val="Nagłówek wiadomości Znak"/>
    <w:link w:val="Nagwekwiadomoci"/>
    <w:semiHidden/>
    <w:rsid w:val="00857370"/>
    <w:rPr>
      <w:rFonts w:cs="Arial"/>
      <w:sz w:val="24"/>
      <w:szCs w:val="22"/>
      <w:shd w:val="pct20" w:color="auto" w:fill="auto"/>
      <w:lang w:val="en-US" w:eastAsia="de-DE"/>
    </w:rPr>
  </w:style>
  <w:style w:type="character" w:customStyle="1" w:styleId="PodtytuZnak">
    <w:name w:val="Podtytuł Znak"/>
    <w:link w:val="Podtytu"/>
    <w:rsid w:val="00857370"/>
    <w:rPr>
      <w:rFonts w:cs="Arial"/>
      <w:sz w:val="24"/>
      <w:szCs w:val="22"/>
      <w:lang w:val="en-US" w:eastAsia="de-DE"/>
    </w:rPr>
  </w:style>
  <w:style w:type="character" w:customStyle="1" w:styleId="ZwrotgrzecznociowyZnak">
    <w:name w:val="Zwrot grzecznościowy Znak"/>
    <w:link w:val="Zwrotgrzecznociowy"/>
    <w:semiHidden/>
    <w:rsid w:val="00857370"/>
    <w:rPr>
      <w:sz w:val="22"/>
      <w:szCs w:val="22"/>
      <w:lang w:val="en-US" w:eastAsia="de-DE"/>
    </w:rPr>
  </w:style>
  <w:style w:type="character" w:customStyle="1" w:styleId="DataZnak">
    <w:name w:val="Data Znak"/>
    <w:link w:val="Data"/>
    <w:semiHidden/>
    <w:rsid w:val="00857370"/>
    <w:rPr>
      <w:sz w:val="22"/>
      <w:szCs w:val="22"/>
      <w:lang w:val="en-US" w:eastAsia="de-DE"/>
    </w:rPr>
  </w:style>
  <w:style w:type="character" w:customStyle="1" w:styleId="TekstpodstawowyzwciciemZnak">
    <w:name w:val="Tekst podstawowy z wcięciem Znak"/>
    <w:link w:val="Tekstpodstawowyzwciciem"/>
    <w:semiHidden/>
    <w:rsid w:val="00857370"/>
    <w:rPr>
      <w:sz w:val="22"/>
      <w:szCs w:val="22"/>
      <w:lang w:val="en-US" w:eastAsia="de-DE"/>
    </w:rPr>
  </w:style>
  <w:style w:type="character" w:customStyle="1" w:styleId="Tekstpodstawowyzwciciem2Znak">
    <w:name w:val="Tekst podstawowy z wcięciem 2 Znak"/>
    <w:link w:val="Tekstpodstawowyzwciciem2"/>
    <w:semiHidden/>
    <w:rsid w:val="00857370"/>
    <w:rPr>
      <w:sz w:val="22"/>
      <w:szCs w:val="22"/>
      <w:lang w:val="en-US" w:eastAsia="de-DE"/>
    </w:rPr>
  </w:style>
  <w:style w:type="character" w:customStyle="1" w:styleId="NagweknotatkiZnak">
    <w:name w:val="Nagłówek notatki Znak"/>
    <w:link w:val="Nagweknotatki"/>
    <w:semiHidden/>
    <w:rsid w:val="00857370"/>
    <w:rPr>
      <w:sz w:val="22"/>
      <w:szCs w:val="22"/>
      <w:lang w:val="en-US" w:eastAsia="de-DE"/>
    </w:rPr>
  </w:style>
  <w:style w:type="character" w:customStyle="1" w:styleId="Tekstpodstawowy2Znak">
    <w:name w:val="Tekst podstawowy 2 Znak"/>
    <w:link w:val="Tekstpodstawowy2"/>
    <w:semiHidden/>
    <w:rsid w:val="00857370"/>
    <w:rPr>
      <w:sz w:val="22"/>
      <w:szCs w:val="22"/>
      <w:lang w:val="en-US" w:eastAsia="de-DE"/>
    </w:rPr>
  </w:style>
  <w:style w:type="character" w:customStyle="1" w:styleId="Tekstpodstawowy3Znak">
    <w:name w:val="Tekst podstawowy 3 Znak"/>
    <w:link w:val="Tekstpodstawowy3"/>
    <w:semiHidden/>
    <w:rsid w:val="00857370"/>
    <w:rPr>
      <w:sz w:val="16"/>
      <w:szCs w:val="16"/>
      <w:lang w:val="en-US" w:eastAsia="de-DE"/>
    </w:rPr>
  </w:style>
  <w:style w:type="character" w:customStyle="1" w:styleId="Tekstpodstawowywcity2Znak">
    <w:name w:val="Tekst podstawowy wcięty 2 Znak"/>
    <w:link w:val="Tekstpodstawowywcity2"/>
    <w:semiHidden/>
    <w:rsid w:val="00857370"/>
    <w:rPr>
      <w:sz w:val="22"/>
      <w:szCs w:val="22"/>
      <w:lang w:val="en-US" w:eastAsia="de-DE"/>
    </w:rPr>
  </w:style>
  <w:style w:type="character" w:customStyle="1" w:styleId="Tekstpodstawowywcity3Znak">
    <w:name w:val="Tekst podstawowy wcięty 3 Znak"/>
    <w:link w:val="Tekstpodstawowywcity3"/>
    <w:semiHidden/>
    <w:rsid w:val="00857370"/>
    <w:rPr>
      <w:sz w:val="16"/>
      <w:szCs w:val="16"/>
      <w:lang w:val="en-US" w:eastAsia="de-DE"/>
    </w:rPr>
  </w:style>
  <w:style w:type="character" w:customStyle="1" w:styleId="MapadokumentuZnak">
    <w:name w:val="Mapa dokumentu Znak"/>
    <w:link w:val="Plandokumentu"/>
    <w:semiHidden/>
    <w:rsid w:val="00857370"/>
    <w:rPr>
      <w:rFonts w:ascii="Tahoma" w:hAnsi="Tahoma" w:cs="Tahoma"/>
      <w:shd w:val="clear" w:color="auto" w:fill="000080"/>
      <w:lang w:val="en-US" w:eastAsia="de-DE"/>
    </w:rPr>
  </w:style>
  <w:style w:type="character" w:customStyle="1" w:styleId="ZwykytekstZnak">
    <w:name w:val="Zwykły tekst Znak"/>
    <w:link w:val="Zwykytekst"/>
    <w:semiHidden/>
    <w:rsid w:val="00857370"/>
    <w:rPr>
      <w:rFonts w:ascii="Courier New" w:hAnsi="Courier New" w:cs="Courier New"/>
      <w:lang w:val="en-US" w:eastAsia="de-DE"/>
    </w:rPr>
  </w:style>
  <w:style w:type="character" w:customStyle="1" w:styleId="Podpise-mailZnak">
    <w:name w:val="Podpis e-mail Znak"/>
    <w:link w:val="Podpise-mail"/>
    <w:semiHidden/>
    <w:rsid w:val="00857370"/>
    <w:rPr>
      <w:sz w:val="22"/>
      <w:szCs w:val="22"/>
      <w:lang w:val="en-US" w:eastAsia="de-DE"/>
    </w:rPr>
  </w:style>
  <w:style w:type="character" w:customStyle="1" w:styleId="TematkomentarzaZnak">
    <w:name w:val="Temat komentarza Znak"/>
    <w:link w:val="Tematkomentarza"/>
    <w:semiHidden/>
    <w:rsid w:val="00857370"/>
    <w:rPr>
      <w:b/>
      <w:bCs/>
      <w:lang w:val="en-US" w:eastAsia="de-DE"/>
    </w:rPr>
  </w:style>
  <w:style w:type="paragraph" w:customStyle="1" w:styleId="Default">
    <w:name w:val="Default"/>
    <w:semiHidden/>
    <w:rsid w:val="00857370"/>
    <w:pPr>
      <w:autoSpaceDE w:val="0"/>
      <w:autoSpaceDN w:val="0"/>
      <w:adjustRightInd w:val="0"/>
    </w:pPr>
    <w:rPr>
      <w:rFonts w:eastAsia="Calibri"/>
      <w:color w:val="000000"/>
      <w:sz w:val="24"/>
      <w:szCs w:val="24"/>
      <w:lang w:val="en-IE" w:eastAsia="en-US"/>
    </w:rPr>
  </w:style>
  <w:style w:type="character" w:customStyle="1" w:styleId="berschrift1">
    <w:name w:val="Überschrift 1"/>
    <w:aliases w:val="Rep Heading 1 Zchn Zchn"/>
    <w:rsid w:val="00857370"/>
    <w:rPr>
      <w:rFonts w:ascii="MS Mincho" w:eastAsia="MS Mincho" w:hAnsi="MS Mincho" w:hint="eastAsia"/>
      <w:b/>
      <w:bCs/>
      <w:sz w:val="28"/>
      <w:szCs w:val="24"/>
      <w:lang w:val="en-GB" w:bidi="ar-SA"/>
    </w:rPr>
  </w:style>
  <w:style w:type="table" w:customStyle="1" w:styleId="TableGrid">
    <w:name w:val="TableGrid"/>
    <w:rsid w:val="00857370"/>
    <w:rPr>
      <w:rFonts w:ascii="Calibri" w:hAnsi="Calibri"/>
      <w:kern w:val="2"/>
      <w:sz w:val="22"/>
      <w:szCs w:val="22"/>
      <w:lang w:val="en-IE" w:eastAsia="en-I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063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file:///W:\LifeScientific\LS%20MESO+IODO\MRiRW\2024-10-14%20uzupe&#322;nienie%206%20i%2010%20-%20Life%20Sc\dRR%20Part%20B10.doc" TargetMode="External"/><Relationship Id="rId18" Type="http://schemas.openxmlformats.org/officeDocument/2006/relationships/hyperlink" Target="file:///W:\LifeScientific\LS%20MESO+IODO\MRiRW\2024-10-14%20uzupe&#322;nienie%206%20i%2010%20-%20Life%20Sc\dRR%20Part%20B10.doc" TargetMode="External"/><Relationship Id="rId26" Type="http://schemas.openxmlformats.org/officeDocument/2006/relationships/hyperlink" Target="file:///W:\LifeScientific\LS%20MESO+IODO\MRiRW\2024-10-14%20uzupe&#322;nienie%206%20i%2010%20-%20Life%20Sc\dRR%20Part%20B10.doc" TargetMode="External"/><Relationship Id="rId39" Type="http://schemas.openxmlformats.org/officeDocument/2006/relationships/hyperlink" Target="file:///W:\LifeScientific\LS%20MESO+IODO\MRiRW\2024-10-14%20uzupe&#322;nienie%206%20i%2010%20-%20Life%20Sc\dRR%20Part%20B10.doc" TargetMode="External"/><Relationship Id="rId21" Type="http://schemas.openxmlformats.org/officeDocument/2006/relationships/hyperlink" Target="file:///W:\LifeScientific\LS%20MESO+IODO\MRiRW\2024-10-14%20uzupe&#322;nienie%206%20i%2010%20-%20Life%20Sc\dRR%20Part%20B10.doc" TargetMode="External"/><Relationship Id="rId34" Type="http://schemas.openxmlformats.org/officeDocument/2006/relationships/hyperlink" Target="file:///W:\LifeScientific\LS%20MESO+IODO\MRiRW\2024-10-14%20uzupe&#322;nienie%206%20i%2010%20-%20Life%20Sc\dRR%20Part%20B10.doc" TargetMode="External"/><Relationship Id="rId42" Type="http://schemas.openxmlformats.org/officeDocument/2006/relationships/hyperlink" Target="file:///W:\LifeScientific\LS%20MESO+IODO\MRiRW\2024-10-14%20uzupe&#322;nienie%206%20i%2010%20-%20Life%20Sc\dRR%20Part%20B10.doc" TargetMode="External"/><Relationship Id="rId47" Type="http://schemas.openxmlformats.org/officeDocument/2006/relationships/hyperlink" Target="file:///W:\LifeScientific\LS%20MESO+IODO\MRiRW\2024-10-14%20uzupe&#322;nienie%206%20i%2010%20-%20Life%20Sc\dRR%20Part%20B10.doc" TargetMode="External"/><Relationship Id="rId50" Type="http://schemas.openxmlformats.org/officeDocument/2006/relationships/image" Target="media/image3.png"/><Relationship Id="rId55" Type="http://schemas.openxmlformats.org/officeDocument/2006/relationships/image" Target="media/image8.png"/><Relationship Id="rId63" Type="http://schemas.openxmlformats.org/officeDocument/2006/relationships/image" Target="media/image16.emf"/><Relationship Id="rId68" Type="http://schemas.openxmlformats.org/officeDocument/2006/relationships/header" Target="header2.xm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W:\LifeScientific\LS%20MESO+IODO\MRiRW\2024-10-14%20uzupe&#322;nienie%206%20i%2010%20-%20Life%20Sc\dRR%20Part%20B10.doc" TargetMode="External"/><Relationship Id="rId29" Type="http://schemas.openxmlformats.org/officeDocument/2006/relationships/hyperlink" Target="file:///W:\LifeScientific\LS%20MESO+IODO\MRiRW\2024-10-14%20uzupe&#322;nienie%206%20i%2010%20-%20Life%20Sc\dRR%20Part%20B10.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W:\LifeScientific\LS%20MESO+IODO\MRiRW\2024-10-14%20uzupe&#322;nienie%206%20i%2010%20-%20Life%20Sc\dRR%20Part%20B10.doc" TargetMode="External"/><Relationship Id="rId24" Type="http://schemas.openxmlformats.org/officeDocument/2006/relationships/hyperlink" Target="file:///W:\LifeScientific\LS%20MESO+IODO\MRiRW\2024-10-14%20uzupe&#322;nienie%206%20i%2010%20-%20Life%20Sc\dRR%20Part%20B10.doc" TargetMode="External"/><Relationship Id="rId32" Type="http://schemas.openxmlformats.org/officeDocument/2006/relationships/hyperlink" Target="file:///W:\LifeScientific\LS%20MESO+IODO\MRiRW\2024-10-14%20uzupe&#322;nienie%206%20i%2010%20-%20Life%20Sc\dRR%20Part%20B10.doc" TargetMode="External"/><Relationship Id="rId37" Type="http://schemas.openxmlformats.org/officeDocument/2006/relationships/hyperlink" Target="file:///W:\LifeScientific\LS%20MESO+IODO\MRiRW\2024-10-14%20uzupe&#322;nienie%206%20i%2010%20-%20Life%20Sc\dRR%20Part%20B10.doc" TargetMode="External"/><Relationship Id="rId40" Type="http://schemas.openxmlformats.org/officeDocument/2006/relationships/hyperlink" Target="file:///W:\LifeScientific\LS%20MESO+IODO\MRiRW\2024-10-14%20uzupe&#322;nienie%206%20i%2010%20-%20Life%20Sc\dRR%20Part%20B10.doc" TargetMode="External"/><Relationship Id="rId45" Type="http://schemas.openxmlformats.org/officeDocument/2006/relationships/hyperlink" Target="file:///W:\LifeScientific\LS%20MESO+IODO\MRiRW\2024-10-14%20uzupe&#322;nienie%206%20i%2010%20-%20Life%20Sc\dRR%20Part%20B10.doc" TargetMode="External"/><Relationship Id="rId53" Type="http://schemas.openxmlformats.org/officeDocument/2006/relationships/image" Target="media/image6.png"/><Relationship Id="rId58" Type="http://schemas.openxmlformats.org/officeDocument/2006/relationships/image" Target="media/image11.png"/><Relationship Id="rId66"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hyperlink" Target="file:///W:\LifeScientific\LS%20MESO+IODO\MRiRW\2024-10-14%20uzupe&#322;nienie%206%20i%2010%20-%20Life%20Sc\dRR%20Part%20B10.doc" TargetMode="External"/><Relationship Id="rId23" Type="http://schemas.openxmlformats.org/officeDocument/2006/relationships/hyperlink" Target="file:///W:\LifeScientific\LS%20MESO+IODO\MRiRW\2024-10-14%20uzupe&#322;nienie%206%20i%2010%20-%20Life%20Sc\dRR%20Part%20B10.doc" TargetMode="External"/><Relationship Id="rId28" Type="http://schemas.openxmlformats.org/officeDocument/2006/relationships/hyperlink" Target="file:///W:\LifeScientific\LS%20MESO+IODO\MRiRW\2024-10-14%20uzupe&#322;nienie%206%20i%2010%20-%20Life%20Sc\dRR%20Part%20B10.doc" TargetMode="External"/><Relationship Id="rId36" Type="http://schemas.openxmlformats.org/officeDocument/2006/relationships/hyperlink" Target="file:///W:\LifeScientific\LS%20MESO+IODO\MRiRW\2024-10-14%20uzupe&#322;nienie%206%20i%2010%20-%20Life%20Sc\dRR%20Part%20B10.doc" TargetMode="External"/><Relationship Id="rId49" Type="http://schemas.openxmlformats.org/officeDocument/2006/relationships/image" Target="media/image2.png"/><Relationship Id="rId57" Type="http://schemas.openxmlformats.org/officeDocument/2006/relationships/image" Target="media/image10.png"/><Relationship Id="rId61" Type="http://schemas.openxmlformats.org/officeDocument/2006/relationships/image" Target="media/image14.emf"/><Relationship Id="rId10" Type="http://schemas.openxmlformats.org/officeDocument/2006/relationships/hyperlink" Target="file:///W:\LifeScientific\LS%20MESO+IODO\MRiRW\2024-10-14%20uzupe&#322;nienie%206%20i%2010%20-%20Life%20Sc\dRR%20Part%20B10.doc" TargetMode="External"/><Relationship Id="rId19" Type="http://schemas.openxmlformats.org/officeDocument/2006/relationships/hyperlink" Target="file:///W:\LifeScientific\LS%20MESO+IODO\MRiRW\2024-10-14%20uzupe&#322;nienie%206%20i%2010%20-%20Life%20Sc\dRR%20Part%20B10.doc" TargetMode="External"/><Relationship Id="rId31" Type="http://schemas.openxmlformats.org/officeDocument/2006/relationships/hyperlink" Target="file:///W:\LifeScientific\LS%20MESO+IODO\MRiRW\2024-10-14%20uzupe&#322;nienie%206%20i%2010%20-%20Life%20Sc\dRR%20Part%20B10.doc" TargetMode="External"/><Relationship Id="rId44" Type="http://schemas.openxmlformats.org/officeDocument/2006/relationships/hyperlink" Target="file:///W:\LifeScientific\LS%20MESO+IODO\MRiRW\2024-10-14%20uzupe&#322;nienie%206%20i%2010%20-%20Life%20Sc\dRR%20Part%20B10.doc" TargetMode="External"/><Relationship Id="rId52" Type="http://schemas.openxmlformats.org/officeDocument/2006/relationships/image" Target="media/image5.png"/><Relationship Id="rId60" Type="http://schemas.openxmlformats.org/officeDocument/2006/relationships/image" Target="media/image13.emf"/><Relationship Id="rId65"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file:///W:\LifeScientific\LS%20MESO+IODO\MRiRW\2024-10-14%20uzupe&#322;nienie%206%20i%2010%20-%20Life%20Sc\dRR%20Part%20B10.doc" TargetMode="External"/><Relationship Id="rId14" Type="http://schemas.openxmlformats.org/officeDocument/2006/relationships/hyperlink" Target="file:///W:\LifeScientific\LS%20MESO+IODO\MRiRW\2024-10-14%20uzupe&#322;nienie%206%20i%2010%20-%20Life%20Sc\dRR%20Part%20B10.doc" TargetMode="External"/><Relationship Id="rId22" Type="http://schemas.openxmlformats.org/officeDocument/2006/relationships/hyperlink" Target="file:///W:\LifeScientific\LS%20MESO+IODO\MRiRW\2024-10-14%20uzupe&#322;nienie%206%20i%2010%20-%20Life%20Sc\dRR%20Part%20B10.doc" TargetMode="External"/><Relationship Id="rId27" Type="http://schemas.openxmlformats.org/officeDocument/2006/relationships/hyperlink" Target="file:///W:\LifeScientific\LS%20MESO+IODO\MRiRW\2024-10-14%20uzupe&#322;nienie%206%20i%2010%20-%20Life%20Sc\dRR%20Part%20B10.doc" TargetMode="External"/><Relationship Id="rId30" Type="http://schemas.openxmlformats.org/officeDocument/2006/relationships/hyperlink" Target="file:///W:\LifeScientific\LS%20MESO+IODO\MRiRW\2024-10-14%20uzupe&#322;nienie%206%20i%2010%20-%20Life%20Sc\dRR%20Part%20B10.doc" TargetMode="External"/><Relationship Id="rId35" Type="http://schemas.openxmlformats.org/officeDocument/2006/relationships/hyperlink" Target="file:///W:\LifeScientific\LS%20MESO+IODO\MRiRW\2024-10-14%20uzupe&#322;nienie%206%20i%2010%20-%20Life%20Sc\dRR%20Part%20B10.doc" TargetMode="External"/><Relationship Id="rId43" Type="http://schemas.openxmlformats.org/officeDocument/2006/relationships/hyperlink" Target="file:///W:\LifeScientific\LS%20MESO+IODO\MRiRW\2024-10-14%20uzupe&#322;nienie%206%20i%2010%20-%20Life%20Sc\dRR%20Part%20B10.doc" TargetMode="External"/><Relationship Id="rId48" Type="http://schemas.openxmlformats.org/officeDocument/2006/relationships/image" Target="media/image1.png"/><Relationship Id="rId56" Type="http://schemas.openxmlformats.org/officeDocument/2006/relationships/image" Target="media/image9.emf"/><Relationship Id="rId64" Type="http://schemas.openxmlformats.org/officeDocument/2006/relationships/image" Target="media/image17.png"/><Relationship Id="rId69" Type="http://schemas.openxmlformats.org/officeDocument/2006/relationships/header" Target="header3.xml"/><Relationship Id="rId8" Type="http://schemas.openxmlformats.org/officeDocument/2006/relationships/footer" Target="footer1.xml"/><Relationship Id="rId51" Type="http://schemas.openxmlformats.org/officeDocument/2006/relationships/image" Target="media/image4.emf"/><Relationship Id="rId3" Type="http://schemas.openxmlformats.org/officeDocument/2006/relationships/settings" Target="settings.xml"/><Relationship Id="rId12" Type="http://schemas.openxmlformats.org/officeDocument/2006/relationships/hyperlink" Target="file:///W:\LifeScientific\LS%20MESO+IODO\MRiRW\2024-10-14%20uzupe&#322;nienie%206%20i%2010%20-%20Life%20Sc\dRR%20Part%20B10.doc" TargetMode="External"/><Relationship Id="rId17" Type="http://schemas.openxmlformats.org/officeDocument/2006/relationships/hyperlink" Target="file:///W:\LifeScientific\LS%20MESO+IODO\MRiRW\2024-10-14%20uzupe&#322;nienie%206%20i%2010%20-%20Life%20Sc\dRR%20Part%20B10.doc" TargetMode="External"/><Relationship Id="rId25" Type="http://schemas.openxmlformats.org/officeDocument/2006/relationships/hyperlink" Target="file:///W:\LifeScientific\LS%20MESO+IODO\MRiRW\2024-10-14%20uzupe&#322;nienie%206%20i%2010%20-%20Life%20Sc\dRR%20Part%20B10.doc" TargetMode="External"/><Relationship Id="rId33" Type="http://schemas.openxmlformats.org/officeDocument/2006/relationships/hyperlink" Target="file:///W:\LifeScientific\LS%20MESO+IODO\MRiRW\2024-10-14%20uzupe&#322;nienie%206%20i%2010%20-%20Life%20Sc\dRR%20Part%20B10.doc" TargetMode="External"/><Relationship Id="rId38" Type="http://schemas.openxmlformats.org/officeDocument/2006/relationships/hyperlink" Target="file:///W:\LifeScientific\LS%20MESO+IODO\MRiRW\2024-10-14%20uzupe&#322;nienie%206%20i%2010%20-%20Life%20Sc\dRR%20Part%20B10.doc" TargetMode="External"/><Relationship Id="rId46" Type="http://schemas.openxmlformats.org/officeDocument/2006/relationships/hyperlink" Target="file:///W:\LifeScientific\LS%20MESO+IODO\MRiRW\2024-10-14%20uzupe&#322;nienie%206%20i%2010%20-%20Life%20Sc\dRR%20Part%20B10.doc" TargetMode="External"/><Relationship Id="rId59" Type="http://schemas.openxmlformats.org/officeDocument/2006/relationships/image" Target="media/image12.png"/><Relationship Id="rId67" Type="http://schemas.openxmlformats.org/officeDocument/2006/relationships/image" Target="media/image20.png"/><Relationship Id="rId20" Type="http://schemas.openxmlformats.org/officeDocument/2006/relationships/hyperlink" Target="file:///W:\LifeScientific\LS%20MESO+IODO\MRiRW\2024-10-14%20uzupe&#322;nienie%206%20i%2010%20-%20Life%20Sc\dRR%20Part%20B10.doc" TargetMode="External"/><Relationship Id="rId41" Type="http://schemas.openxmlformats.org/officeDocument/2006/relationships/hyperlink" Target="file:///W:\LifeScientific\LS%20MESO+IODO\MRiRW\2024-10-14%20uzupe&#322;nienie%206%20i%2010%20-%20Life%20Sc\dRR%20Part%20B10.doc" TargetMode="External"/><Relationship Id="rId54" Type="http://schemas.openxmlformats.org/officeDocument/2006/relationships/image" Target="media/image7.png"/><Relationship Id="rId62" Type="http://schemas.openxmlformats.org/officeDocument/2006/relationships/image" Target="media/image15.png"/><Relationship Id="rId7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4797</Words>
  <Characters>36272</Characters>
  <Application>Microsoft Office Word</Application>
  <DocSecurity>0</DocSecurity>
  <Lines>302</Lines>
  <Paragraphs>81</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10</vt:lpstr>
      <vt:lpstr>Part B, Section 10</vt:lpstr>
      <vt:lpstr>Part B, Section 10</vt:lpstr>
    </vt:vector>
  </TitlesOfParts>
  <Company>AFSSA</Company>
  <LinksUpToDate>false</LinksUpToDate>
  <CharactersWithSpaces>40988</CharactersWithSpaces>
  <SharedDoc>false</SharedDoc>
  <HLinks>
    <vt:vector size="234" baseType="variant">
      <vt:variant>
        <vt:i4>21364786</vt:i4>
      </vt:variant>
      <vt:variant>
        <vt:i4>230</vt:i4>
      </vt:variant>
      <vt:variant>
        <vt:i4>0</vt:i4>
      </vt:variant>
      <vt:variant>
        <vt:i4>5</vt:i4>
      </vt:variant>
      <vt:variant>
        <vt:lpwstr>W:\LifeScientific\LS MESO+IODO\MRiRW\2024-10-14 uzupełnienie 6 i 10 - Life Sc\dRR Part B10.doc</vt:lpwstr>
      </vt:variant>
      <vt:variant>
        <vt:lpwstr>_Toc150777404</vt:lpwstr>
      </vt:variant>
      <vt:variant>
        <vt:i4>21364786</vt:i4>
      </vt:variant>
      <vt:variant>
        <vt:i4>224</vt:i4>
      </vt:variant>
      <vt:variant>
        <vt:i4>0</vt:i4>
      </vt:variant>
      <vt:variant>
        <vt:i4>5</vt:i4>
      </vt:variant>
      <vt:variant>
        <vt:lpwstr>W:\LifeScientific\LS MESO+IODO\MRiRW\2024-10-14 uzupełnienie 6 i 10 - Life Sc\dRR Part B10.doc</vt:lpwstr>
      </vt:variant>
      <vt:variant>
        <vt:lpwstr>_Toc150777403</vt:lpwstr>
      </vt:variant>
      <vt:variant>
        <vt:i4>21364786</vt:i4>
      </vt:variant>
      <vt:variant>
        <vt:i4>218</vt:i4>
      </vt:variant>
      <vt:variant>
        <vt:i4>0</vt:i4>
      </vt:variant>
      <vt:variant>
        <vt:i4>5</vt:i4>
      </vt:variant>
      <vt:variant>
        <vt:lpwstr>W:\LifeScientific\LS MESO+IODO\MRiRW\2024-10-14 uzupełnienie 6 i 10 - Life Sc\dRR Part B10.doc</vt:lpwstr>
      </vt:variant>
      <vt:variant>
        <vt:lpwstr>_Toc150777402</vt:lpwstr>
      </vt:variant>
      <vt:variant>
        <vt:i4>21364786</vt:i4>
      </vt:variant>
      <vt:variant>
        <vt:i4>212</vt:i4>
      </vt:variant>
      <vt:variant>
        <vt:i4>0</vt:i4>
      </vt:variant>
      <vt:variant>
        <vt:i4>5</vt:i4>
      </vt:variant>
      <vt:variant>
        <vt:lpwstr>W:\LifeScientific\LS MESO+IODO\MRiRW\2024-10-14 uzupełnienie 6 i 10 - Life Sc\dRR Part B10.doc</vt:lpwstr>
      </vt:variant>
      <vt:variant>
        <vt:lpwstr>_Toc150777401</vt:lpwstr>
      </vt:variant>
      <vt:variant>
        <vt:i4>21364786</vt:i4>
      </vt:variant>
      <vt:variant>
        <vt:i4>206</vt:i4>
      </vt:variant>
      <vt:variant>
        <vt:i4>0</vt:i4>
      </vt:variant>
      <vt:variant>
        <vt:i4>5</vt:i4>
      </vt:variant>
      <vt:variant>
        <vt:lpwstr>W:\LifeScientific\LS MESO+IODO\MRiRW\2024-10-14 uzupełnienie 6 i 10 - Life Sc\dRR Part B10.doc</vt:lpwstr>
      </vt:variant>
      <vt:variant>
        <vt:lpwstr>_Toc150777400</vt:lpwstr>
      </vt:variant>
      <vt:variant>
        <vt:i4>21954613</vt:i4>
      </vt:variant>
      <vt:variant>
        <vt:i4>200</vt:i4>
      </vt:variant>
      <vt:variant>
        <vt:i4>0</vt:i4>
      </vt:variant>
      <vt:variant>
        <vt:i4>5</vt:i4>
      </vt:variant>
      <vt:variant>
        <vt:lpwstr>W:\LifeScientific\LS MESO+IODO\MRiRW\2024-10-14 uzupełnienie 6 i 10 - Life Sc\dRR Part B10.doc</vt:lpwstr>
      </vt:variant>
      <vt:variant>
        <vt:lpwstr>_Toc150777399</vt:lpwstr>
      </vt:variant>
      <vt:variant>
        <vt:i4>21954613</vt:i4>
      </vt:variant>
      <vt:variant>
        <vt:i4>194</vt:i4>
      </vt:variant>
      <vt:variant>
        <vt:i4>0</vt:i4>
      </vt:variant>
      <vt:variant>
        <vt:i4>5</vt:i4>
      </vt:variant>
      <vt:variant>
        <vt:lpwstr>W:\LifeScientific\LS MESO+IODO\MRiRW\2024-10-14 uzupełnienie 6 i 10 - Life Sc\dRR Part B10.doc</vt:lpwstr>
      </vt:variant>
      <vt:variant>
        <vt:lpwstr>_Toc150777398</vt:lpwstr>
      </vt:variant>
      <vt:variant>
        <vt:i4>21954613</vt:i4>
      </vt:variant>
      <vt:variant>
        <vt:i4>188</vt:i4>
      </vt:variant>
      <vt:variant>
        <vt:i4>0</vt:i4>
      </vt:variant>
      <vt:variant>
        <vt:i4>5</vt:i4>
      </vt:variant>
      <vt:variant>
        <vt:lpwstr>W:\LifeScientific\LS MESO+IODO\MRiRW\2024-10-14 uzupełnienie 6 i 10 - Life Sc\dRR Part B10.doc</vt:lpwstr>
      </vt:variant>
      <vt:variant>
        <vt:lpwstr>_Toc150777397</vt:lpwstr>
      </vt:variant>
      <vt:variant>
        <vt:i4>21954613</vt:i4>
      </vt:variant>
      <vt:variant>
        <vt:i4>182</vt:i4>
      </vt:variant>
      <vt:variant>
        <vt:i4>0</vt:i4>
      </vt:variant>
      <vt:variant>
        <vt:i4>5</vt:i4>
      </vt:variant>
      <vt:variant>
        <vt:lpwstr>W:\LifeScientific\LS MESO+IODO\MRiRW\2024-10-14 uzupełnienie 6 i 10 - Life Sc\dRR Part B10.doc</vt:lpwstr>
      </vt:variant>
      <vt:variant>
        <vt:lpwstr>_Toc150777396</vt:lpwstr>
      </vt:variant>
      <vt:variant>
        <vt:i4>21954613</vt:i4>
      </vt:variant>
      <vt:variant>
        <vt:i4>176</vt:i4>
      </vt:variant>
      <vt:variant>
        <vt:i4>0</vt:i4>
      </vt:variant>
      <vt:variant>
        <vt:i4>5</vt:i4>
      </vt:variant>
      <vt:variant>
        <vt:lpwstr>W:\LifeScientific\LS MESO+IODO\MRiRW\2024-10-14 uzupełnienie 6 i 10 - Life Sc\dRR Part B10.doc</vt:lpwstr>
      </vt:variant>
      <vt:variant>
        <vt:lpwstr>_Toc150777395</vt:lpwstr>
      </vt:variant>
      <vt:variant>
        <vt:i4>21954613</vt:i4>
      </vt:variant>
      <vt:variant>
        <vt:i4>170</vt:i4>
      </vt:variant>
      <vt:variant>
        <vt:i4>0</vt:i4>
      </vt:variant>
      <vt:variant>
        <vt:i4>5</vt:i4>
      </vt:variant>
      <vt:variant>
        <vt:lpwstr>W:\LifeScientific\LS MESO+IODO\MRiRW\2024-10-14 uzupełnienie 6 i 10 - Life Sc\dRR Part B10.doc</vt:lpwstr>
      </vt:variant>
      <vt:variant>
        <vt:lpwstr>_Toc150777394</vt:lpwstr>
      </vt:variant>
      <vt:variant>
        <vt:i4>21954613</vt:i4>
      </vt:variant>
      <vt:variant>
        <vt:i4>164</vt:i4>
      </vt:variant>
      <vt:variant>
        <vt:i4>0</vt:i4>
      </vt:variant>
      <vt:variant>
        <vt:i4>5</vt:i4>
      </vt:variant>
      <vt:variant>
        <vt:lpwstr>W:\LifeScientific\LS MESO+IODO\MRiRW\2024-10-14 uzupełnienie 6 i 10 - Life Sc\dRR Part B10.doc</vt:lpwstr>
      </vt:variant>
      <vt:variant>
        <vt:lpwstr>_Toc150777393</vt:lpwstr>
      </vt:variant>
      <vt:variant>
        <vt:i4>21954613</vt:i4>
      </vt:variant>
      <vt:variant>
        <vt:i4>158</vt:i4>
      </vt:variant>
      <vt:variant>
        <vt:i4>0</vt:i4>
      </vt:variant>
      <vt:variant>
        <vt:i4>5</vt:i4>
      </vt:variant>
      <vt:variant>
        <vt:lpwstr>W:\LifeScientific\LS MESO+IODO\MRiRW\2024-10-14 uzupełnienie 6 i 10 - Life Sc\dRR Part B10.doc</vt:lpwstr>
      </vt:variant>
      <vt:variant>
        <vt:lpwstr>_Toc150777392</vt:lpwstr>
      </vt:variant>
      <vt:variant>
        <vt:i4>21954613</vt:i4>
      </vt:variant>
      <vt:variant>
        <vt:i4>152</vt:i4>
      </vt:variant>
      <vt:variant>
        <vt:i4>0</vt:i4>
      </vt:variant>
      <vt:variant>
        <vt:i4>5</vt:i4>
      </vt:variant>
      <vt:variant>
        <vt:lpwstr>W:\LifeScientific\LS MESO+IODO\MRiRW\2024-10-14 uzupełnienie 6 i 10 - Life Sc\dRR Part B10.doc</vt:lpwstr>
      </vt:variant>
      <vt:variant>
        <vt:lpwstr>_Toc150777391</vt:lpwstr>
      </vt:variant>
      <vt:variant>
        <vt:i4>21954613</vt:i4>
      </vt:variant>
      <vt:variant>
        <vt:i4>146</vt:i4>
      </vt:variant>
      <vt:variant>
        <vt:i4>0</vt:i4>
      </vt:variant>
      <vt:variant>
        <vt:i4>5</vt:i4>
      </vt:variant>
      <vt:variant>
        <vt:lpwstr>W:\LifeScientific\LS MESO+IODO\MRiRW\2024-10-14 uzupełnienie 6 i 10 - Life Sc\dRR Part B10.doc</vt:lpwstr>
      </vt:variant>
      <vt:variant>
        <vt:lpwstr>_Toc150777390</vt:lpwstr>
      </vt:variant>
      <vt:variant>
        <vt:i4>21889077</vt:i4>
      </vt:variant>
      <vt:variant>
        <vt:i4>140</vt:i4>
      </vt:variant>
      <vt:variant>
        <vt:i4>0</vt:i4>
      </vt:variant>
      <vt:variant>
        <vt:i4>5</vt:i4>
      </vt:variant>
      <vt:variant>
        <vt:lpwstr>W:\LifeScientific\LS MESO+IODO\MRiRW\2024-10-14 uzupełnienie 6 i 10 - Life Sc\dRR Part B10.doc</vt:lpwstr>
      </vt:variant>
      <vt:variant>
        <vt:lpwstr>_Toc150777389</vt:lpwstr>
      </vt:variant>
      <vt:variant>
        <vt:i4>21889077</vt:i4>
      </vt:variant>
      <vt:variant>
        <vt:i4>134</vt:i4>
      </vt:variant>
      <vt:variant>
        <vt:i4>0</vt:i4>
      </vt:variant>
      <vt:variant>
        <vt:i4>5</vt:i4>
      </vt:variant>
      <vt:variant>
        <vt:lpwstr>W:\LifeScientific\LS MESO+IODO\MRiRW\2024-10-14 uzupełnienie 6 i 10 - Life Sc\dRR Part B10.doc</vt:lpwstr>
      </vt:variant>
      <vt:variant>
        <vt:lpwstr>_Toc150777388</vt:lpwstr>
      </vt:variant>
      <vt:variant>
        <vt:i4>21889077</vt:i4>
      </vt:variant>
      <vt:variant>
        <vt:i4>128</vt:i4>
      </vt:variant>
      <vt:variant>
        <vt:i4>0</vt:i4>
      </vt:variant>
      <vt:variant>
        <vt:i4>5</vt:i4>
      </vt:variant>
      <vt:variant>
        <vt:lpwstr>W:\LifeScientific\LS MESO+IODO\MRiRW\2024-10-14 uzupełnienie 6 i 10 - Life Sc\dRR Part B10.doc</vt:lpwstr>
      </vt:variant>
      <vt:variant>
        <vt:lpwstr>_Toc150777387</vt:lpwstr>
      </vt:variant>
      <vt:variant>
        <vt:i4>21889077</vt:i4>
      </vt:variant>
      <vt:variant>
        <vt:i4>122</vt:i4>
      </vt:variant>
      <vt:variant>
        <vt:i4>0</vt:i4>
      </vt:variant>
      <vt:variant>
        <vt:i4>5</vt:i4>
      </vt:variant>
      <vt:variant>
        <vt:lpwstr>W:\LifeScientific\LS MESO+IODO\MRiRW\2024-10-14 uzupełnienie 6 i 10 - Life Sc\dRR Part B10.doc</vt:lpwstr>
      </vt:variant>
      <vt:variant>
        <vt:lpwstr>_Toc150777386</vt:lpwstr>
      </vt:variant>
      <vt:variant>
        <vt:i4>21889077</vt:i4>
      </vt:variant>
      <vt:variant>
        <vt:i4>116</vt:i4>
      </vt:variant>
      <vt:variant>
        <vt:i4>0</vt:i4>
      </vt:variant>
      <vt:variant>
        <vt:i4>5</vt:i4>
      </vt:variant>
      <vt:variant>
        <vt:lpwstr>W:\LifeScientific\LS MESO+IODO\MRiRW\2024-10-14 uzupełnienie 6 i 10 - Life Sc\dRR Part B10.doc</vt:lpwstr>
      </vt:variant>
      <vt:variant>
        <vt:lpwstr>_Toc150777385</vt:lpwstr>
      </vt:variant>
      <vt:variant>
        <vt:i4>21889077</vt:i4>
      </vt:variant>
      <vt:variant>
        <vt:i4>110</vt:i4>
      </vt:variant>
      <vt:variant>
        <vt:i4>0</vt:i4>
      </vt:variant>
      <vt:variant>
        <vt:i4>5</vt:i4>
      </vt:variant>
      <vt:variant>
        <vt:lpwstr>W:\LifeScientific\LS MESO+IODO\MRiRW\2024-10-14 uzupełnienie 6 i 10 - Life Sc\dRR Part B10.doc</vt:lpwstr>
      </vt:variant>
      <vt:variant>
        <vt:lpwstr>_Toc150777384</vt:lpwstr>
      </vt:variant>
      <vt:variant>
        <vt:i4>21889077</vt:i4>
      </vt:variant>
      <vt:variant>
        <vt:i4>104</vt:i4>
      </vt:variant>
      <vt:variant>
        <vt:i4>0</vt:i4>
      </vt:variant>
      <vt:variant>
        <vt:i4>5</vt:i4>
      </vt:variant>
      <vt:variant>
        <vt:lpwstr>W:\LifeScientific\LS MESO+IODO\MRiRW\2024-10-14 uzupełnienie 6 i 10 - Life Sc\dRR Part B10.doc</vt:lpwstr>
      </vt:variant>
      <vt:variant>
        <vt:lpwstr>_Toc150777383</vt:lpwstr>
      </vt:variant>
      <vt:variant>
        <vt:i4>21889077</vt:i4>
      </vt:variant>
      <vt:variant>
        <vt:i4>98</vt:i4>
      </vt:variant>
      <vt:variant>
        <vt:i4>0</vt:i4>
      </vt:variant>
      <vt:variant>
        <vt:i4>5</vt:i4>
      </vt:variant>
      <vt:variant>
        <vt:lpwstr>W:\LifeScientific\LS MESO+IODO\MRiRW\2024-10-14 uzupełnienie 6 i 10 - Life Sc\dRR Part B10.doc</vt:lpwstr>
      </vt:variant>
      <vt:variant>
        <vt:lpwstr>_Toc150777382</vt:lpwstr>
      </vt:variant>
      <vt:variant>
        <vt:i4>21889077</vt:i4>
      </vt:variant>
      <vt:variant>
        <vt:i4>92</vt:i4>
      </vt:variant>
      <vt:variant>
        <vt:i4>0</vt:i4>
      </vt:variant>
      <vt:variant>
        <vt:i4>5</vt:i4>
      </vt:variant>
      <vt:variant>
        <vt:lpwstr>W:\LifeScientific\LS MESO+IODO\MRiRW\2024-10-14 uzupełnienie 6 i 10 - Life Sc\dRR Part B10.doc</vt:lpwstr>
      </vt:variant>
      <vt:variant>
        <vt:lpwstr>_Toc150777381</vt:lpwstr>
      </vt:variant>
      <vt:variant>
        <vt:i4>21889077</vt:i4>
      </vt:variant>
      <vt:variant>
        <vt:i4>86</vt:i4>
      </vt:variant>
      <vt:variant>
        <vt:i4>0</vt:i4>
      </vt:variant>
      <vt:variant>
        <vt:i4>5</vt:i4>
      </vt:variant>
      <vt:variant>
        <vt:lpwstr>W:\LifeScientific\LS MESO+IODO\MRiRW\2024-10-14 uzupełnienie 6 i 10 - Life Sc\dRR Part B10.doc</vt:lpwstr>
      </vt:variant>
      <vt:variant>
        <vt:lpwstr>_Toc150777380</vt:lpwstr>
      </vt:variant>
      <vt:variant>
        <vt:i4>21037109</vt:i4>
      </vt:variant>
      <vt:variant>
        <vt:i4>80</vt:i4>
      </vt:variant>
      <vt:variant>
        <vt:i4>0</vt:i4>
      </vt:variant>
      <vt:variant>
        <vt:i4>5</vt:i4>
      </vt:variant>
      <vt:variant>
        <vt:lpwstr>W:\LifeScientific\LS MESO+IODO\MRiRW\2024-10-14 uzupełnienie 6 i 10 - Life Sc\dRR Part B10.doc</vt:lpwstr>
      </vt:variant>
      <vt:variant>
        <vt:lpwstr>_Toc150777379</vt:lpwstr>
      </vt:variant>
      <vt:variant>
        <vt:i4>21037109</vt:i4>
      </vt:variant>
      <vt:variant>
        <vt:i4>74</vt:i4>
      </vt:variant>
      <vt:variant>
        <vt:i4>0</vt:i4>
      </vt:variant>
      <vt:variant>
        <vt:i4>5</vt:i4>
      </vt:variant>
      <vt:variant>
        <vt:lpwstr>W:\LifeScientific\LS MESO+IODO\MRiRW\2024-10-14 uzupełnienie 6 i 10 - Life Sc\dRR Part B10.doc</vt:lpwstr>
      </vt:variant>
      <vt:variant>
        <vt:lpwstr>_Toc150777378</vt:lpwstr>
      </vt:variant>
      <vt:variant>
        <vt:i4>21037109</vt:i4>
      </vt:variant>
      <vt:variant>
        <vt:i4>68</vt:i4>
      </vt:variant>
      <vt:variant>
        <vt:i4>0</vt:i4>
      </vt:variant>
      <vt:variant>
        <vt:i4>5</vt:i4>
      </vt:variant>
      <vt:variant>
        <vt:lpwstr>W:\LifeScientific\LS MESO+IODO\MRiRW\2024-10-14 uzupełnienie 6 i 10 - Life Sc\dRR Part B10.doc</vt:lpwstr>
      </vt:variant>
      <vt:variant>
        <vt:lpwstr>_Toc150777377</vt:lpwstr>
      </vt:variant>
      <vt:variant>
        <vt:i4>21037109</vt:i4>
      </vt:variant>
      <vt:variant>
        <vt:i4>62</vt:i4>
      </vt:variant>
      <vt:variant>
        <vt:i4>0</vt:i4>
      </vt:variant>
      <vt:variant>
        <vt:i4>5</vt:i4>
      </vt:variant>
      <vt:variant>
        <vt:lpwstr>W:\LifeScientific\LS MESO+IODO\MRiRW\2024-10-14 uzupełnienie 6 i 10 - Life Sc\dRR Part B10.doc</vt:lpwstr>
      </vt:variant>
      <vt:variant>
        <vt:lpwstr>_Toc150777376</vt:lpwstr>
      </vt:variant>
      <vt:variant>
        <vt:i4>21037109</vt:i4>
      </vt:variant>
      <vt:variant>
        <vt:i4>56</vt:i4>
      </vt:variant>
      <vt:variant>
        <vt:i4>0</vt:i4>
      </vt:variant>
      <vt:variant>
        <vt:i4>5</vt:i4>
      </vt:variant>
      <vt:variant>
        <vt:lpwstr>W:\LifeScientific\LS MESO+IODO\MRiRW\2024-10-14 uzupełnienie 6 i 10 - Life Sc\dRR Part B10.doc</vt:lpwstr>
      </vt:variant>
      <vt:variant>
        <vt:lpwstr>_Toc150777375</vt:lpwstr>
      </vt:variant>
      <vt:variant>
        <vt:i4>21037109</vt:i4>
      </vt:variant>
      <vt:variant>
        <vt:i4>50</vt:i4>
      </vt:variant>
      <vt:variant>
        <vt:i4>0</vt:i4>
      </vt:variant>
      <vt:variant>
        <vt:i4>5</vt:i4>
      </vt:variant>
      <vt:variant>
        <vt:lpwstr>W:\LifeScientific\LS MESO+IODO\MRiRW\2024-10-14 uzupełnienie 6 i 10 - Life Sc\dRR Part B10.doc</vt:lpwstr>
      </vt:variant>
      <vt:variant>
        <vt:lpwstr>_Toc150777374</vt:lpwstr>
      </vt:variant>
      <vt:variant>
        <vt:i4>21037109</vt:i4>
      </vt:variant>
      <vt:variant>
        <vt:i4>44</vt:i4>
      </vt:variant>
      <vt:variant>
        <vt:i4>0</vt:i4>
      </vt:variant>
      <vt:variant>
        <vt:i4>5</vt:i4>
      </vt:variant>
      <vt:variant>
        <vt:lpwstr>W:\LifeScientific\LS MESO+IODO\MRiRW\2024-10-14 uzupełnienie 6 i 10 - Life Sc\dRR Part B10.doc</vt:lpwstr>
      </vt:variant>
      <vt:variant>
        <vt:lpwstr>_Toc150777373</vt:lpwstr>
      </vt:variant>
      <vt:variant>
        <vt:i4>21037109</vt:i4>
      </vt:variant>
      <vt:variant>
        <vt:i4>38</vt:i4>
      </vt:variant>
      <vt:variant>
        <vt:i4>0</vt:i4>
      </vt:variant>
      <vt:variant>
        <vt:i4>5</vt:i4>
      </vt:variant>
      <vt:variant>
        <vt:lpwstr>W:\LifeScientific\LS MESO+IODO\MRiRW\2024-10-14 uzupełnienie 6 i 10 - Life Sc\dRR Part B10.doc</vt:lpwstr>
      </vt:variant>
      <vt:variant>
        <vt:lpwstr>_Toc150777372</vt:lpwstr>
      </vt:variant>
      <vt:variant>
        <vt:i4>21037109</vt:i4>
      </vt:variant>
      <vt:variant>
        <vt:i4>32</vt:i4>
      </vt:variant>
      <vt:variant>
        <vt:i4>0</vt:i4>
      </vt:variant>
      <vt:variant>
        <vt:i4>5</vt:i4>
      </vt:variant>
      <vt:variant>
        <vt:lpwstr>W:\LifeScientific\LS MESO+IODO\MRiRW\2024-10-14 uzupełnienie 6 i 10 - Life Sc\dRR Part B10.doc</vt:lpwstr>
      </vt:variant>
      <vt:variant>
        <vt:lpwstr>_Toc150777371</vt:lpwstr>
      </vt:variant>
      <vt:variant>
        <vt:i4>21037109</vt:i4>
      </vt:variant>
      <vt:variant>
        <vt:i4>26</vt:i4>
      </vt:variant>
      <vt:variant>
        <vt:i4>0</vt:i4>
      </vt:variant>
      <vt:variant>
        <vt:i4>5</vt:i4>
      </vt:variant>
      <vt:variant>
        <vt:lpwstr>W:\LifeScientific\LS MESO+IODO\MRiRW\2024-10-14 uzupełnienie 6 i 10 - Life Sc\dRR Part B10.doc</vt:lpwstr>
      </vt:variant>
      <vt:variant>
        <vt:lpwstr>_Toc150777370</vt:lpwstr>
      </vt:variant>
      <vt:variant>
        <vt:i4>20971573</vt:i4>
      </vt:variant>
      <vt:variant>
        <vt:i4>20</vt:i4>
      </vt:variant>
      <vt:variant>
        <vt:i4>0</vt:i4>
      </vt:variant>
      <vt:variant>
        <vt:i4>5</vt:i4>
      </vt:variant>
      <vt:variant>
        <vt:lpwstr>W:\LifeScientific\LS MESO+IODO\MRiRW\2024-10-14 uzupełnienie 6 i 10 - Life Sc\dRR Part B10.doc</vt:lpwstr>
      </vt:variant>
      <vt:variant>
        <vt:lpwstr>_Toc150777369</vt:lpwstr>
      </vt:variant>
      <vt:variant>
        <vt:i4>20971573</vt:i4>
      </vt:variant>
      <vt:variant>
        <vt:i4>14</vt:i4>
      </vt:variant>
      <vt:variant>
        <vt:i4>0</vt:i4>
      </vt:variant>
      <vt:variant>
        <vt:i4>5</vt:i4>
      </vt:variant>
      <vt:variant>
        <vt:lpwstr>W:\LifeScientific\LS MESO+IODO\MRiRW\2024-10-14 uzupełnienie 6 i 10 - Life Sc\dRR Part B10.doc</vt:lpwstr>
      </vt:variant>
      <vt:variant>
        <vt:lpwstr>_Toc150777368</vt:lpwstr>
      </vt:variant>
      <vt:variant>
        <vt:i4>20971573</vt:i4>
      </vt:variant>
      <vt:variant>
        <vt:i4>8</vt:i4>
      </vt:variant>
      <vt:variant>
        <vt:i4>0</vt:i4>
      </vt:variant>
      <vt:variant>
        <vt:i4>5</vt:i4>
      </vt:variant>
      <vt:variant>
        <vt:lpwstr>W:\LifeScientific\LS MESO+IODO\MRiRW\2024-10-14 uzupełnienie 6 i 10 - Life Sc\dRR Part B10.doc</vt:lpwstr>
      </vt:variant>
      <vt:variant>
        <vt:lpwstr>_Toc150777367</vt:lpwstr>
      </vt:variant>
      <vt:variant>
        <vt:i4>20971573</vt:i4>
      </vt:variant>
      <vt:variant>
        <vt:i4>2</vt:i4>
      </vt:variant>
      <vt:variant>
        <vt:i4>0</vt:i4>
      </vt:variant>
      <vt:variant>
        <vt:i4>5</vt:i4>
      </vt:variant>
      <vt:variant>
        <vt:lpwstr>W:\LifeScientific\LS MESO+IODO\MRiRW\2024-10-14 uzupełnienie 6 i 10 - Life Sc\dRR Part B10.doc</vt:lpwstr>
      </vt:variant>
      <vt:variant>
        <vt:lpwstr>_Toc150777366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10</dc:title>
  <dc:subject/>
  <dc:creator>Registration Report Working Group</dc:creator>
  <cp:keywords/>
  <cp:lastModifiedBy>Graniewska Magdalena</cp:lastModifiedBy>
  <cp:revision>3</cp:revision>
  <cp:lastPrinted>2014-06-05T13:33:00Z</cp:lastPrinted>
  <dcterms:created xsi:type="dcterms:W3CDTF">2024-10-15T10:27:00Z</dcterms:created>
  <dcterms:modified xsi:type="dcterms:W3CDTF">2024-10-15T10:28:00Z</dcterms:modified>
</cp:coreProperties>
</file>